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1b3c" w14:textId="ef71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9 қыркүйектегі № 1033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Анатолий және Габриель Стати, "Ascom Group A.S." және "Terra Raf Trans Trading Ltd" компаниялары Қазақстан Республикасына қарсы бастама жасаған төрелік талқылауда Қазақстан Республикасының мүдделерін білдіру қызметтеріне ақы төлеу үшін 2011 жылға арналған республикалық бюджетте көзделген Қазақстан Республикасы Үкіметінің </w:t>
      </w:r>
      <w:r>
        <w:rPr>
          <w:rFonts w:ascii="Times New Roman"/>
          <w:b w:val="false"/>
          <w:i w:val="false"/>
          <w:color w:val="000000"/>
          <w:sz w:val="28"/>
        </w:rPr>
        <w:t>шұғыл шығындарға</w:t>
      </w:r>
      <w:r>
        <w:rPr>
          <w:rFonts w:ascii="Times New Roman"/>
          <w:b w:val="false"/>
          <w:i w:val="false"/>
          <w:color w:val="000000"/>
          <w:sz w:val="28"/>
        </w:rPr>
        <w:t xml:space="preserve"> арналған резервінен валюта айырбастаудың берілетін күнгі нарықтық бағамы бойынша 2000000 (екі миллион) АҚШ долларына баламалы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