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7d8f" w14:textId="29f7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 960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мамырдағы № 553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«Шаруашылық жүргізу құқығындағы мемлекеттік кәсіпорындардың және акцияларының (үлестерінің) бақылау пакеті мемлекетке тиесілі ұйымдардың қаржылық қызметтерді сатып алуының кейбір мәселелері туралы» Қазақстан Республикасы Үкіметінің 2004 жылғы 14 қыркүйектегі № 960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«Уақытша бос ақша қарыз алушылары Қазақстан Республикасы Үкіметінің 2011 жылғы 4 наурыздағы № 225 қаулысымен бекітілген Дағдарыстан кейін қалпына келтіру бағдарламасына (бәсекеге қабілетті кәсіпорындарды сауықтыру) қатысатын екінші деңгейдегі банктерге орналастырылған жағдайда, екінші деңгейдегі банкті таңдау оның кәсіпорындарды сауықтыруға қатысуының Сауықтыру жөніндегі кеңес ұсынымдарына сәйкес айқындалатын дәрежесін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2016 жылғы 31 желтоқсанға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