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caf9" w14:textId="4f9c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401 Қаулысы</w:t>
      </w:r>
    </w:p>
    <w:p>
      <w:pPr>
        <w:spacing w:after="0"/>
        <w:ind w:left="0"/>
        <w:jc w:val="both"/>
      </w:pPr>
      <w:bookmarkStart w:name="z1" w:id="0"/>
      <w:r>
        <w:rPr>
          <w:rFonts w:ascii="Times New Roman"/>
          <w:b w:val="false"/>
          <w:i w:val="false"/>
          <w:color w:val="000000"/>
          <w:sz w:val="28"/>
        </w:rPr>
        <w:t xml:space="preserve">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Астана қаласында Қазақстан Республикасының Тәуелсіздігіне 20 жыл толуына байланысты іс-шараларды дайындау және өткізу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министрлігіне 2011 жылға арналған республикалық бюджетте шұғыл шығындарға көзделген Қазақстан Республикасы Үкіметінің резервінен Астана қаласының көлік инфрақұрылымын дамытуға нысаналы трансферттер түрінде Астана қаласының әкімдігіне аудару үшін 6000000000 (алты миллиард)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