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e05e" w14:textId="499e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31 наурыздағы № 303 Қаулысы</w:t>
      </w:r>
    </w:p>
    <w:p>
      <w:pPr>
        <w:spacing w:after="0"/>
        <w:ind w:left="0"/>
        <w:jc w:val="both"/>
      </w:pPr>
      <w:bookmarkStart w:name="z1" w:id="0"/>
      <w:r>
        <w:rPr>
          <w:rFonts w:ascii="Times New Roman"/>
          <w:b w:val="false"/>
          <w:i w:val="false"/>
          <w:color w:val="000000"/>
          <w:sz w:val="28"/>
        </w:rPr>
        <w:t xml:space="preserve">
      Қоғамдық тәртіпті сақтауды күшейту және қоғамдық қауіпсіздікті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3-бағанда 2-бөлімде:</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жолдағы «105688» деген сандар «105744»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«Облыстық бюджеттер мен республикалық маңызы бар қаланың, астананың бюджеттері есебінен ұсталатын ішкі істер органдарының әкімшілік полициясы, оның ішінде:» деген жолдағы «46862» деген сандар «45918»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«Қостанай облысының Ішкі істер департаменті» деген жолдағы «2781» деген сандар «2837»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қаулының іске асырылуы өңірдің жергілікті бюджетінде Қазақстан Республикасы Ішкі істер министрлігіне көзделген қаражат есебінен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