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7c01" w14:textId="bd47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31 желтоқсандағы № 1355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19 наурыздағы № 268 Қаулысы. Күші жойылды - Қазақстан Республикасы Үкіметінің 2012 жылғы 19 наурыздағы N 340 Қаулысымен</w:t>
      </w:r>
    </w:p>
    <w:p>
      <w:pPr>
        <w:spacing w:after="0"/>
        <w:ind w:left="0"/>
        <w:jc w:val="both"/>
      </w:pPr>
      <w:r>
        <w:rPr>
          <w:rFonts w:ascii="Times New Roman"/>
          <w:b w:val="false"/>
          <w:i w:val="false"/>
          <w:color w:val="ff0000"/>
          <w:sz w:val="28"/>
        </w:rPr>
        <w:t xml:space="preserve">      Ескерту. Күші жойылды - ҚР Үкіметінің 2012.03.19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50, 567-құжат)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 мынадай мазмұндағы реттік нөмірі 91-жолмен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813"/>
        <w:gridCol w:w="70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акционерлік" қоғамы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Индустрия және жаңа технологиялар министрлігі</w:t>
            </w:r>
          </w:p>
        </w:tc>
      </w:tr>
    </w:tbl>
    <w:bookmarkStart w:name="z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