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5ab" w14:textId="ec8a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ісі туралы"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ақпандағы № 85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кеден ісі туралы» Қазақстан Республикасының 2010 жылғы 30 шілдедегі Кодексінің 68-бабының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Республикасындағы кеден ісі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Республикасындағы кеден ісі туралы»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кеден ісі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Кеден одағының кеден заңнамасына (Кеден одағы комиссиясының шешімдері не Кеден одағына мүше мемлекеттердің келісімдері) сәйкес белгіленген кедендік құжаттарды толтырудың форматтық-логикалық бақылауды қамтуға;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ісі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интернет-ресурсында, веб-порталында орналастырылатын электрондық анықтамалардан және жіктеуіштерден жаңартылатын нормативтік-анықтамалық ақпаратты қамтуға;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Кеден одағының кеден заңнамасына (Кеден одағы комиссиясының шешімдері не Кеден одағына мүше мемлекеттердің келісімдері) сәйкес белгіленген кедендік құжаттардың электрондық көшірмелерінің құрылымы мен форматын қамтуға;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қолданыстағы заңнамасына сәйкес ақпараттық қауіпсіздік талаптарына және Қазақстан Республикасының аумағында қабылданған стандарттарға сәйкес болуға тиіс.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