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5c82" w14:textId="aa25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11 ақпандағы № 83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8 қазандағы №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11 ақпандағы № 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13-14, 125-құжат)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22-тармақтың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«элиталық тұқымдардың сорттық және егу сапасын растайтын құжаттарды (тұқымның аттестатының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«облыс бойынша элиталық тұқымдардың нақты сатып алынған көлемі женінде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 Пайыздық ара қатынаста бюджеттік субсидиялардың нормативтері сатып алынған тұқымның толық құнының 40 %-ын құрауы, бірақ осы қаулыда бекітілген ауыл шаруашылығы өсімдіктерінің элиталық тұқымының 1 тоннасына 2010 жылға арналған бюджеттік субсидиялар нормативтерінен артық болмауы тиіс;».</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