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73c5" w14:textId="c2d7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жеке пайдалануға арналған жеңіл автомобильдерді өткізу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шілдедегі № 682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тұлғалар Қазақстан Республикасының аумағына әкелетін жеке пайдалануға арналған жеңіл автомобильдерді кедендік декларациялау кезінде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мөлшерде кедендік баждардың, салықтардың бірыңғай ставкалары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682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тұлғалар жеке пайдалануға арналған жеңіл автомобильдерді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аумағына әкелген кезде төлеуі</w:t>
      </w:r>
      <w:r>
        <w:br/>
      </w:r>
      <w:r>
        <w:rPr>
          <w:rFonts w:ascii="Times New Roman"/>
          <w:b/>
          <w:i w:val="false"/>
          <w:color w:val="000000"/>
        </w:rPr>
        <w:t>
тиіс кедендік баждардың, салықтардың бірыңғай ставкалары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тұлғалар жеңіл автомобильдерді бастапқы әкелген кезде кедендік баждардың, салықтардың бірыңғай ставкасы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шығарылған сәтінен бастап 3 жыл өткен, бірақ 10 жылдан көп емес жеңіл автомобильдер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қозғалтқыш цилиндрлерінің жұмыс көлемі 1500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аспайтын - қозғалтқыш цилиндрлерінің жұмыс көлемінің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0,35 евро;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қозғалтқыш цилиндрлерінің жұмыс көлемі 1500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асатын, бірақ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көп емес - қозғалтқыш цилиндрлерінің жұмыс көлемінің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0,4 евро;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қозғалтқыш цилиндрлерінің жұмыс көлемі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асатын - қозғалтқыш цилиндрлерінің жұмыс көлемінің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0,6 евро.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Күнтізбелік жыл ішінде кедендік декларациялауға жеке пайдалану үшін сатып алынған екі және одан көп автомобиль берілген кезде кедендік баждардың, салықтардың бірыңғай ставкасы мыналарды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шығарылған сәтінен бастап 3 жыл өткен, бірақ 7 жылдан көп емес жеңіл автомобильдер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қозғалтқыш цилиндрлерінін жұмыс көлемі 1000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аспайтын - қозғалтқыш цилиндрлерінің жұмыс көлемінің 1 см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үшін 0,85 евро;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қозғалтқыш цилиндрлерінің жұмыс көлемі 1000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асатын, бірақ 1500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көп емес - қозғалтқыш цилиндрлерінің жұмыс көлемінің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1 евро;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қозғалтқыш цилиндрлерінің жұмыс көлемі 1500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асатын, бірақ 1800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көп емес - қозғалтқыш цилиндрлерінің жұмыс көлемінің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1,5 евро;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қозғалтқыш цилиндрлерінің жұмыс көлемі 1800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асатын, бірақ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көп емес - қозғалтқыш цилиндрлерінің жұмыс көлемінің 1 см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үшін 2 евро;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қозғалтқыш цилиндрлерінің жұмыс көлемі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асатын - қозғалтқыш цилиндрлерінің жұмыс көлемінің 1 см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үшін 2,25 евро;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шығарылған сәтінен бастап 7 жыл өткен, бірақ 10 жылдан көп емес жеңіл автомобильдер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қозғалтқыш цилиндрлерінің жұмыс көлемі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аспайтын - қозғалтқыш цилиндрлерінің жұмыс көлемінің 1 см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үшін 2 евро;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қозғалтқыш цилиндрлерінің жұмыс көлемі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-ден асатын қозғалтқыш цилиндрлерінің жұмыс көлемінің см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үшін 3 евро.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682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«Жеке тұлғалардың тауарларды Қазақстан Республикасының кеден шекарасы арқылы өткізуінің кейбір мәселелері» туралы Қазақстан Республикасы Үкіметінің 2005 жылғы 9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12, 121-құжат).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 Үкіметінің 2005 жылғы 9 наурыздағы № 217 қаулысына өзгерістер мен толықтырулар енгізу туралы» Қазақстан Республикасы Үкіметінің 2007 жылғы 28 тамыздағы № 750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32, 353-құжат).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«Қазақстан Республикасы Үкіметінің 2005 жылғы 9 наурыздағы № 217 қаулысына өзгеріс енгізу туралы» Қазақстан Республикасы Үкіметінің 2008 жылғы 31 мамырдағы № 532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28, 277-құжат).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«Қазақстан Республикасы Үкіметінің 2005 жылғы 9 наурыздағы № 217 қаулысына өзгеріс енгізу туралы» Қазақстан Республикасы Үкіметінің 2008 жылғы 31 желтоқсандағы № 1330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48, 547-құжат).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