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f24e" w14:textId="c27f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қазандағы Кеден одағының комиссиясы туралы шартқа өзгерістер мен толықтырулар енгізу туралы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7 желтоқсандағы № 1311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2007 жылғы 6 қазандағы Кеден одағының комиссиясы туралы шартқа өзгерістер мен толықтырулар енгізу туралы хаттамаға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2007 жылғы 6 қазандағы Кеден одағының комиссиясы туралы шартқа</w:t>
      </w:r>
      <w:r>
        <w:br/>
      </w:r>
      <w:r>
        <w:rPr>
          <w:rFonts w:ascii="Times New Roman"/>
          <w:b/>
          <w:i w:val="false"/>
          <w:color w:val="000000"/>
        </w:rPr>
        <w:t>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xml:space="preserve">
      2007 жылғы 6 қазандағы Кеден одағының комиссиясы туралы шарттың (бұдан әрі - Шарт) </w:t>
      </w:r>
      <w:r>
        <w:rPr>
          <w:rFonts w:ascii="Times New Roman"/>
          <w:b w:val="false"/>
          <w:i w:val="false"/>
          <w:color w:val="000000"/>
          <w:sz w:val="28"/>
        </w:rPr>
        <w:t>15-бабына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Шарттың 6-бабы мынадай редакциядағы оныншы абзацпен толықтырылсын:</w:t>
      </w:r>
      <w:r>
        <w:br/>
      </w:r>
      <w:r>
        <w:rPr>
          <w:rFonts w:ascii="Times New Roman"/>
          <w:b w:val="false"/>
          <w:i w:val="false"/>
          <w:color w:val="000000"/>
          <w:sz w:val="28"/>
        </w:rPr>
        <w:t>
      «Кеден одағының және оның органдарының тиімді жұмыс істеуін қамтамасыз ету мақсатында Комиссия жеке мәселелер бойынша Кеден одағына мүше мемлекеттердің ұсыныстарын қарау және ұстанымдарын келісу, сондай-ақ Комиссияға тиісті ұсынымдар әзірлеу үшін үйлестіруші және консультативтік органдар құруға құқылы.».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Шарттың 8-бабы мынадай редакцияда жазылсын: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Комиссияның міндетті сипаты бар шешімдері ресми жарияланған күнінен кейін күнтізбелік отыз күн өткен соң күшіне енеді, ал жедел реттеуді талап ететін ерекше жағдайларда Комиссия шешімінде оның күшіне енуінің өзге, бірақ мұндай шешімнің ресми жариялану күнінен бұрын болмайтын мерзімі көрсетілуі мүмкін.».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мүдделі Тараптардың  консультациялары мен келіссөздері арқылы шешіледі, ал келісімге қол жеткізілмеген жағдайда, дау Еуразиялық экономикалық қоғамдастықтың Сотына қарауға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 Тараптардың осы Хаттаманың күшіне енуі үшін қажетті мемлекетішілік рәсімдерді орындағаны туралы соңғы жазбаша хабарламаны дипломатиялық арналар арқылы депозитарий алған күннен бастап күшіне енеді.</w:t>
      </w:r>
    </w:p>
    <w:p>
      <w:pPr>
        <w:spacing w:after="0"/>
        <w:ind w:left="0"/>
        <w:jc w:val="both"/>
      </w:pPr>
      <w:r>
        <w:rPr>
          <w:rFonts w:ascii="Times New Roman"/>
          <w:b w:val="false"/>
          <w:i w:val="false"/>
          <w:color w:val="000000"/>
          <w:sz w:val="28"/>
        </w:rPr>
        <w:t>      _________ қаласында 201__ жылғы «__» _______ орыс тілінде бір түпнұсқа данада жасалды.</w:t>
      </w:r>
      <w:r>
        <w:br/>
      </w:r>
      <w:r>
        <w:rPr>
          <w:rFonts w:ascii="Times New Roman"/>
          <w:b w:val="false"/>
          <w:i w:val="false"/>
          <w:color w:val="000000"/>
          <w:sz w:val="28"/>
        </w:rPr>
        <w:t>
      Осы Хаттаманың түпнұсқа данасы осы Хаттаманың депозитарийі болып табыла отырып,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