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2960" w14:textId="7a92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рашадағы № 12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5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52 «Республикалық ғарыштық байланыс орталығ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Ұлттық ғарыш агенттігіне» деген бөлімде реттік нөмірі 282-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2-1 «Республикалық ғарыштық байланыс орталығы» 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айланыс және хабар тарату ұлттық геостационарлық спутнигін жасау және ұшырудың кейбір мәселелері» Қазақстан Республикасы Үкіметінің 2003 жылғы 30 желтоқсандағы № 135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8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радиоэлектрондық құралдардың электромагниттік үйлесімділігі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және 3-тармақтардың 2) тармақш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» Қазақстан Республикасы Үкіметінің 2004 жылғы 30 шілдедегі № 8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рыштық қызмет» деген 9-бөлімнің 2-бағанындағы реттік нөмірі 71-жолда «және радиоэлектрондық құралдардың электр магниттік үйлесімділігі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Ақпараттандыру және байланыс агенттігінің «Телекоммуникация саласындағы техникалық сүйемелдеу және талдау орталығы» шаруашылық жүргізу құқығындағы республикалық мемлекеттік кәсіпорнын құру туралы» Қазақстан Республикасы Үкіметінің 2008 жылғы 17 сәуірдегі № 3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1, 19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«ақпараттандыру және байланыс саласындағы» деген сөздер «байланыс саласындағы және ақпараттандыру, ақпарат салаларындағ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аралық электр байланысы одағының Радиобайланыс регламентіне сәйкес шекаралас мемлекеттермен (Қазақстан Республикасының шекара маңындағы аймақтарында) радиожиіліктерді халықаралық үйлестіруді жүргізген кезде» деген сөздер «және азаматтық мақсаттағы жоғары жиілік құрылғылар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ып белгіленсін.» деген сөздер «;» белгісімен ауыстырылып,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емлекеттік ақпараттық саясатты жүргізу мәселелерін ақпараттық және әдістемелік қамтамасыз ету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дағы «және радиоэлектрондық құралдардың электр магниттік үйлесімділігі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