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4d54" w14:textId="b974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қаңтардағы № 50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1.Қазақстан Республикасы Үкіметінің кейбір шешімдеріне мынадай өзгеріс пен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3)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27-28, 245-құжат):</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43-1) тармақшамен толықтырылсын:</w:t>
      </w:r>
    </w:p>
    <w:p>
      <w:pPr>
        <w:spacing w:after="0"/>
        <w:ind w:left="0"/>
        <w:jc w:val="both"/>
      </w:pPr>
      <w:r>
        <w:rPr>
          <w:rFonts w:ascii="Times New Roman"/>
          <w:b w:val="false"/>
          <w:i w:val="false"/>
          <w:color w:val="000000"/>
          <w:sz w:val="28"/>
        </w:rPr>
        <w:t>
      "43-1) ұлттық компанияның жарғылық мақсаттарына сәйкес білім беру, ғылым қызметтерін ұйымдастыру мен жүзеге асыру үшін білім беру және оқу бағдарламаларын (соның ішінде талапкерлерді таңдау және қабылдау), даму тұжырымдамаларын әзірлеу, енгізу және (немесе) іске асыру жөнінде қызметтерді және (немесе) жұмыстарды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2.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осы қаулыдан туындайтын қажетті шараларды қабылдасын.</w:t>
      </w:r>
    </w:p>
    <w:bookmarkEnd w:id="4"/>
    <w:bookmarkStart w:name="z13"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1139"/>
        <w:gridCol w:w="1161"/>
      </w:tblGrid>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К. Мәсімов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