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486d" w14:textId="25a4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статистикасы мен өзара сауда статистикасының деректерін беру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Сыртқы сауда статистикасы мен өзара сауда статистикасының деректерін беру тәртібі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Сыртқы сауда статистикасы мен өзара сауда статистикасының деректерін беру тәртібі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N 2073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Сыртқы сауда статистикасы мен өзара сауда статистикасының деректерін беру тәртібі туралы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 Кеден одағы комиссиясының Кедендік статистика орталығына (бұдан әрі — Орталық) Тараптардың Орталыққа деректер беруге жауапты уәкілетті органдарының кеден одағының тауарларымен сыртқы сауданың кедендік статистикасы мен өзара сауда статистикасының деректерін (бұдан әрі — сыртқы сауда статистикасының және өзара сауда статистикасының деректері) беруді жүзеге асыруының негіздерін анықтайды.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Сыртқы сауда статистикасының және өзара сауда статистикасының деректерін Орталыққа беру үшін дайындау мен қалыптастыруды Тараптардың уәкілетті органдары сыртқы сауда статистикасын және өзара сауда статистикасын жүргізудің бірыңғай әдіснамасына сәйкес жүзеге асырады.</w:t>
      </w:r>
      <w:r>
        <w:br/>
      </w:r>
      <w:r>
        <w:rPr>
          <w:rFonts w:ascii="Times New Roman"/>
          <w:b w:val="false"/>
          <w:i w:val="false"/>
          <w:color w:val="000000"/>
          <w:sz w:val="28"/>
        </w:rPr>
        <w:t>
      Тараптардың уәкілетті органдары сыртқы сауда статистикасының және өзара сауда статистикасының деректерін Орталыққа беруді Сыртқы сауда статистикасының және өзара сауда статистикасының деректерін берудің техникалық шарттарына (бұдан әрі - Техникалық шарттар) сәйкес жүзеге асырады.</w:t>
      </w:r>
      <w:r>
        <w:br/>
      </w:r>
      <w:r>
        <w:rPr>
          <w:rFonts w:ascii="Times New Roman"/>
          <w:b w:val="false"/>
          <w:i w:val="false"/>
          <w:color w:val="000000"/>
          <w:sz w:val="28"/>
        </w:rPr>
        <w:t>
      Техникалық шарттарды Тараптардың уәкілетті органдарымен келісім бойынша Кеден одағының комиссиясы әзірлейді және бекітеді. Техникалық шарттарда осы Хаттаманың 4-бабында келтірілген сыртқы және өзара сауда көрсеткіштері тізбесіне сәйкес берілетін ақпараттың форматына және деректер беру құралдарына қойылатын қажетті талаптар болуы тиіс.</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Тараптардың уәкілетті органдары Техникалық шарттарға сәйкес берілетін деректердің толықтығын, дұрыстығын және өзектілігін қамтамасыз ету жөнінде шаралар қабылдайды.</w:t>
      </w:r>
      <w:r>
        <w:br/>
      </w:r>
      <w:r>
        <w:rPr>
          <w:rFonts w:ascii="Times New Roman"/>
          <w:b w:val="false"/>
          <w:i w:val="false"/>
          <w:color w:val="000000"/>
          <w:sz w:val="28"/>
        </w:rPr>
        <w:t>
      Тараптардың уәкілетті органдары өзекті етілген нормативтік-анықтамалық ақпаратты Орталыққа дейін уақтылы жеткізуді жүзеге асырады.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уәкілетті органдары Орталыққа беретін статистикалық деректерде мынадай мәліметтер болуға тиіс:</w:t>
      </w:r>
      <w:r>
        <w:br/>
      </w:r>
      <w:r>
        <w:rPr>
          <w:rFonts w:ascii="Times New Roman"/>
          <w:b w:val="false"/>
          <w:i w:val="false"/>
          <w:color w:val="000000"/>
          <w:sz w:val="28"/>
        </w:rPr>
        <w:t>
      сыртқы сауда бойынша:</w:t>
      </w:r>
      <w:r>
        <w:br/>
      </w:r>
      <w:r>
        <w:rPr>
          <w:rFonts w:ascii="Times New Roman"/>
          <w:b w:val="false"/>
          <w:i w:val="false"/>
          <w:color w:val="000000"/>
          <w:sz w:val="28"/>
        </w:rPr>
        <w:t>
      бірыңғай СЭҚ ТН-ге (10 таңба) сәйкес тауар коды;</w:t>
      </w:r>
      <w:r>
        <w:br/>
      </w:r>
      <w:r>
        <w:rPr>
          <w:rFonts w:ascii="Times New Roman"/>
          <w:b w:val="false"/>
          <w:i w:val="false"/>
          <w:color w:val="000000"/>
          <w:sz w:val="28"/>
        </w:rPr>
        <w:t>
      өткізу бағыты;</w:t>
      </w:r>
      <w:r>
        <w:br/>
      </w:r>
      <w:r>
        <w:rPr>
          <w:rFonts w:ascii="Times New Roman"/>
          <w:b w:val="false"/>
          <w:i w:val="false"/>
          <w:color w:val="000000"/>
          <w:sz w:val="28"/>
        </w:rPr>
        <w:t>
      кезеңі (айы);</w:t>
      </w:r>
      <w:r>
        <w:br/>
      </w:r>
      <w:r>
        <w:rPr>
          <w:rFonts w:ascii="Times New Roman"/>
          <w:b w:val="false"/>
          <w:i w:val="false"/>
          <w:color w:val="000000"/>
          <w:sz w:val="28"/>
        </w:rPr>
        <w:t>
      статистикалық құны (АҚШ долларымен);</w:t>
      </w:r>
      <w:r>
        <w:br/>
      </w:r>
      <w:r>
        <w:rPr>
          <w:rFonts w:ascii="Times New Roman"/>
          <w:b w:val="false"/>
          <w:i w:val="false"/>
          <w:color w:val="000000"/>
          <w:sz w:val="28"/>
        </w:rPr>
        <w:t>
      нетто салмағы (кг);</w:t>
      </w:r>
      <w:r>
        <w:br/>
      </w:r>
      <w:r>
        <w:rPr>
          <w:rFonts w:ascii="Times New Roman"/>
          <w:b w:val="false"/>
          <w:i w:val="false"/>
          <w:color w:val="000000"/>
          <w:sz w:val="28"/>
        </w:rPr>
        <w:t>
      бірыңғай СЭҚ ТН-ге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шығарылған елі;</w:t>
      </w:r>
      <w:r>
        <w:br/>
      </w:r>
      <w:r>
        <w:rPr>
          <w:rFonts w:ascii="Times New Roman"/>
          <w:b w:val="false"/>
          <w:i w:val="false"/>
          <w:color w:val="000000"/>
          <w:sz w:val="28"/>
        </w:rPr>
        <w:t>
      жөнелтуші ел;</w:t>
      </w:r>
      <w:r>
        <w:br/>
      </w:r>
      <w:r>
        <w:rPr>
          <w:rFonts w:ascii="Times New Roman"/>
          <w:b w:val="false"/>
          <w:i w:val="false"/>
          <w:color w:val="000000"/>
          <w:sz w:val="28"/>
        </w:rPr>
        <w:t>
      сататын ел;</w:t>
      </w:r>
      <w:r>
        <w:br/>
      </w:r>
      <w:r>
        <w:rPr>
          <w:rFonts w:ascii="Times New Roman"/>
          <w:b w:val="false"/>
          <w:i w:val="false"/>
          <w:color w:val="000000"/>
          <w:sz w:val="28"/>
        </w:rPr>
        <w:t>
      шекарадағы көлік түрі;</w:t>
      </w:r>
      <w:r>
        <w:br/>
      </w:r>
      <w:r>
        <w:rPr>
          <w:rFonts w:ascii="Times New Roman"/>
          <w:b w:val="false"/>
          <w:i w:val="false"/>
          <w:color w:val="000000"/>
          <w:sz w:val="28"/>
        </w:rPr>
        <w:t>
      өзара сауда бойынша:</w:t>
      </w:r>
      <w:r>
        <w:br/>
      </w:r>
      <w:r>
        <w:rPr>
          <w:rFonts w:ascii="Times New Roman"/>
          <w:b w:val="false"/>
          <w:i w:val="false"/>
          <w:color w:val="000000"/>
          <w:sz w:val="28"/>
        </w:rPr>
        <w:t>
      бірыңғай СЭҚ ТН-ге сәйкес тауар коды;</w:t>
      </w:r>
      <w:r>
        <w:br/>
      </w:r>
      <w:r>
        <w:rPr>
          <w:rFonts w:ascii="Times New Roman"/>
          <w:b w:val="false"/>
          <w:i w:val="false"/>
          <w:color w:val="000000"/>
          <w:sz w:val="28"/>
        </w:rPr>
        <w:t>
      өткізу бағыты;</w:t>
      </w:r>
      <w:r>
        <w:br/>
      </w:r>
      <w:r>
        <w:rPr>
          <w:rFonts w:ascii="Times New Roman"/>
          <w:b w:val="false"/>
          <w:i w:val="false"/>
          <w:color w:val="000000"/>
          <w:sz w:val="28"/>
        </w:rPr>
        <w:t>
      кезеңі (айы);</w:t>
      </w:r>
      <w:r>
        <w:br/>
      </w:r>
      <w:r>
        <w:rPr>
          <w:rFonts w:ascii="Times New Roman"/>
          <w:b w:val="false"/>
          <w:i w:val="false"/>
          <w:color w:val="000000"/>
          <w:sz w:val="28"/>
        </w:rPr>
        <w:t>
      құны (АҚШ долларымен және ұлттық валюталармен);</w:t>
      </w:r>
      <w:r>
        <w:br/>
      </w:r>
      <w:r>
        <w:rPr>
          <w:rFonts w:ascii="Times New Roman"/>
          <w:b w:val="false"/>
          <w:i w:val="false"/>
          <w:color w:val="000000"/>
          <w:sz w:val="28"/>
        </w:rPr>
        <w:t>
      нетто салмағы (кг);</w:t>
      </w:r>
      <w:r>
        <w:br/>
      </w:r>
      <w:r>
        <w:rPr>
          <w:rFonts w:ascii="Times New Roman"/>
          <w:b w:val="false"/>
          <w:i w:val="false"/>
          <w:color w:val="000000"/>
          <w:sz w:val="28"/>
        </w:rPr>
        <w:t>
      бірыңғай СЭҚ ТН-ге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шығарылған елі;</w:t>
      </w:r>
      <w:r>
        <w:br/>
      </w:r>
      <w:r>
        <w:rPr>
          <w:rFonts w:ascii="Times New Roman"/>
          <w:b w:val="false"/>
          <w:i w:val="false"/>
          <w:color w:val="000000"/>
          <w:sz w:val="28"/>
        </w:rPr>
        <w:t>
      жөнелтуші ел;</w:t>
      </w:r>
      <w:r>
        <w:br/>
      </w:r>
      <w:r>
        <w:rPr>
          <w:rFonts w:ascii="Times New Roman"/>
          <w:b w:val="false"/>
          <w:i w:val="false"/>
          <w:color w:val="000000"/>
          <w:sz w:val="28"/>
        </w:rPr>
        <w:t>
      сататын ел.</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Хаттаманың ережелерін түсіндіруге және (немесе) қолдануға байланысты Тараптар арасындағы даулар бірінші кезекте, консультациялар мен келіссөздер жолымен шешіледі.</w:t>
      </w:r>
      <w:r>
        <w:br/>
      </w:r>
      <w:r>
        <w:rPr>
          <w:rFonts w:ascii="Times New Roman"/>
          <w:b w:val="false"/>
          <w:i w:val="false"/>
          <w:color w:val="000000"/>
          <w:sz w:val="28"/>
        </w:rPr>
        <w:t>
      Егер дауласушы Тараптар дауды консультациялар мен келіссөздер жолымен дауласушы Тараптардың бірі екінші дауласушы Тарапқа оларды жүргізу туралы ресми жазбаша өтініш жасаған күнінен бастап алты ай ішінде реттемесе, дауласушы Тараптар арасында оны шешу тәсіліне қатысты өзге уағдаласу болмаған жағдайда, дауласушы Тараптардың кез келгені бұл дауды қарауға Еуразиялық экономикалық қоғамдастықтың Сотына бере алады.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Хаттамаға Тараптардың уағдаластығы бойынша жекелеген хаттамалармен ресімделетін өзгерістер енгізілуі мүмкін.</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2008 жылғы "__" __________ ___________ қаласында орыс тіліндегі бір түпнұсқа данада жасалды.</w:t>
      </w:r>
      <w:r>
        <w:br/>
      </w:r>
      <w:r>
        <w:rPr>
          <w:rFonts w:ascii="Times New Roman"/>
          <w:b w:val="false"/>
          <w:i w:val="false"/>
          <w:color w:val="000000"/>
          <w:sz w:val="28"/>
        </w:rPr>
        <w:t>
      Осы Хаттаманың түпнұсқа данасы депозитарийде сақталады, депозитарийдің функциясы Кеден одағының комиссиясына берілгенге дейін Еуразиялық экономикалық қоғамдастықтың Интеграциялық Комитеті депозитарий болып табылады.</w:t>
      </w:r>
      <w:r>
        <w:br/>
      </w:r>
      <w:r>
        <w:rPr>
          <w:rFonts w:ascii="Times New Roman"/>
          <w:b w:val="false"/>
          <w:i w:val="false"/>
          <w:color w:val="000000"/>
          <w:sz w:val="28"/>
        </w:rPr>
        <w:t>
      Депозитарий осы Хаттаманың куәландырылған көшірмесін әрбір Тарапқа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