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57d6" w14:textId="56a5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14 сәуірдегі N 355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6 мамырдағы N 637 Қаулысы. Күші жойылды - ҚР Үкіметінің 2012 жылғы 19 қаңтардағы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133</w:t>
      </w:r>
      <w:r>
        <w:rPr>
          <w:rFonts w:ascii="Times New Roman"/>
          <w:b w:val="false"/>
          <w:i w:val="false"/>
          <w:color w:val="ff0000"/>
          <w:sz w:val="28"/>
        </w:rPr>
        <w:t xml:space="preserve"> (2012.01.01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кеден заңнамасына сәйкес айқындалған, "Еркін қойма" кеден режимі қолданылатын аумақта өндірілген және Қазақстан Республикасы кеден аумағының қалған бөлігіне сатылатын, сату бойынша айналымдар қосылған құн салығынан босатылатын қазақстандық тауарлардың тізбесін бекіту туралы" Қазақстан Республикасы Үкіметінің 2005 жылғы 14 сәуірдегі N 355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16, 193-құжат) мынадай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кеден заңнамасына сәйкес айқындалған, "Еркін қойма" кеден режимі қолданылатын аумақта өндірілген және Қазақстан Республикасы кеден аумағының қалған бөлігіне сатылатын, сату бойынша айналымдар қосылған құн салығынан босатылатын қазақстандық тауарлардың тізбесі: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37, 38, 39, 40, 41, 42, 43, 44, 45-жолдармен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353"/>
        <w:gridCol w:w="3533"/>
        <w:gridCol w:w="243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Оқ-дәрі контейнерлері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90 980 0-ден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28.75.27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локациялық станциялар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90 900 0-ден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34.10.54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Танкілер және басқа қаружарақтарымен немесе қаружарақтарсыз жауынгерлік өзі жүретін брондалған көлік құралдары және оның бөліктері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8710 00 000 0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мақсаттағы зымырандардың старттық кешендеріне арналған жабдық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10 100 0-ден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жүретін артиллериялық қару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9301 11 000 0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Зымырандық ату қондырғылары және ұқсас ату қондырғылары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9301 20 000 0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Зымырандық ату қондырғыларынан басқа, соғыс қару-жарақтары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90 000 0-ден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әскери мақсаттарға арналған оқ-дәрілер, зымырандар мен снарядтар және олардың бөліктері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 90 100 0-ден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оқ-дәрілер және олардың бөліктері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9306 90 900 0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29.60.14 </w:t>
            </w:r>
          </w:p>
        </w:tc>
      </w:tr>
    </w:tbl>
    <w:p>
      <w:pPr>
        <w:spacing w:after="0"/>
        <w:ind w:left="0"/>
        <w:jc w:val="both"/>
      </w:pP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xml:space="preserve">
      2. Осы қаулы 2010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