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e222" w14:textId="02de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логиялық әртүрлілік туралы конвенцияға Биологиялық қауіпсіздік жөніндегі Картахен хаттамасынан туындайтын міндеттемелерді Қазақстан Республикасының орындауын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желтоқсандағы № 12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Биологиялық әртүрлілік туралы конвенцияға Биологиялық қауіпсіздік жөніндегі Картахен хаттамасын ратификациялау туралы" Қазақстан Республикасының 2008 жылғы 17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ратификациялаған Биологиялық әртүрлілік туралы конвенцияға Картахен хаттам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 ұлттық үйлестіру орта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құзыретті ұлттық органы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10.01.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, Білім және ғылым министрліктері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