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f4a8" w14:textId="548f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8 қазандағы N 1044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11 маусымдағы N 569 Қаулысы. Күші жойылды - ҚР Үкіметінің 2009 жылғы 26 ақпандағы N 222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"Электр энергетикасы қондырғылары объектілерін қайта жаңарту мен кеңейту үшін қосымша қуаттарды қосу және шығындарды өтеу ережесін бекіту туралы" Қазақстан Республикасы Үкіметінің 2004 жылғы 8 қазандағы N 1044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2004 ж., N 37, 495-құжат) мынадай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3-2-тармақпен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Қазақстан Республикасы Табиғи монополияларды реттеу агенттігі тарифтерді өзгертуге арналған өтінімдерді қарау кезінде белгіленген тәртіппен энергия беруші ұйымдардың тарифінде шағын және орта кәсіпкерлік субъектілерін қосылатын қуаттар үшін ақы төлеуден босату кезінде шығындардың орнын толтыруды қамтамасыз ету бойынша инвестициялық құрамдас бөлікті ескерсін.";
</w:t>
      </w:r>
      <w:r>
        <w:br/>
      </w:r>
      <w:r>
        <w:rPr>
          <w:rFonts w:ascii="Times New Roman"/>
          <w:b w:val="false"/>
          <w:i w:val="false"/>
          <w:color w:val="000000"/>
          <w:sz w:val="28"/>
        </w:rPr>
        <w:t>
      көрсетілген қаулымен бекітілген Электр энергетикасы қондырғылары объектілерін қайта жаңарту мен кеңейту үшін қосымша қуаттарды қосу және шығындарды өтеу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12-1-тармақпен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"12-1. Қосылатын қуаттар үшін шағын кәсіпкерлік субъектілерінен ақы алынбайды.
</w:t>
      </w:r>
      <w:r>
        <w:br/>
      </w:r>
      <w:r>
        <w:rPr>
          <w:rFonts w:ascii="Times New Roman"/>
          <w:b w:val="false"/>
          <w:i w:val="false"/>
          <w:color w:val="000000"/>
          <w:sz w:val="28"/>
        </w:rPr>
        <w:t>
      50 кВт дейінгі мөлшерде қосылатын қуаттар үшін қосылатын әрбір объекті бойынша орта кәсіпкерлік субъектілерінен ақы алынбайды. Осы тармақпен белгіленген қосылатын қуаттың мөлшері артқан жағдайда, қосылатын әрбір объекті бойынша орта кәсіпкерлік субъектісінен арту шамасына қарай ақы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