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ea65" w14:textId="908e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кедендік әкету баждары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11 маусымдағы N 567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"Үшінші елдерге қатысты кедендік әкету баждары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елдерге қатысты кедендік әкету баждары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 қаласында 2008 жылғы 25 қаңтарда қол қойылған Үшінші елдерге қатысты кедендік әкету баждары туралы келісім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елдерге қатысты кедендік әкету баждары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оларға қатысты осы баждардың ставкаларын көрсете отырып, кедендік әкету баждарын қолдану көзделген Тарап мемлекетінің заңнамасында осы Келісімнің күшіне енуі күніне осы Келісімнің қатысушылары болып табылмайтын мемлекеттерге (бұдан әрі - үшінші елдер) жеткізілетін тауарлар тізбесін (бұдан әрі - тауарлар тізбесі) қалыптастырады және осы Келісім күшіне енген күнінен бастап 30 күнтізбелік күн ішінде оны 2007 жылғы 6 қазандағы Кеден одағының комиссиясы туралы шартқа сәйкес құрылған Кеден одағының комиссиясына (бұдан әрі - Комиссия)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Комиссия осы Келісім күшіне енген күнінен бастап 60 күнтізбелік күн ішінде оларға қатысты Тараптар мемлекеттерінің заңнамасында осы баждардың ставкаларын көрсете отырып, кедендік әкету баждарын қолдану көзделген үшінші елдерге жеткізілетін Тауарлардың жиынтық тізбесін (бұдан әрі - тауарлардың жиынтық тізбесі) қалыптастырады және оны Тараптарға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кедендік әкету баждарының тауарлар тізбелері мен ставкаларын біріздендіруге ұмтылады.
</w:t>
      </w:r>
      <w:r>
        <w:br/>
      </w:r>
      <w:r>
        <w:rPr>
          <w:rFonts w:ascii="Times New Roman"/>
          <w:b w:val="false"/>
          <w:i w:val="false"/>
          <w:color w:val="000000"/>
          <w:sz w:val="28"/>
        </w:rPr>
        <w:t>
      Тараптар жекелеген келісіммен Тараптар айқындайтын жағдайларды қоспағанда, тауарлардың тізбесін біржақты тәртіппен кеңейтпейді.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тауарға қатысты кедендік әкету баждарын қолданатын бір Тарап мемлекетінің аумағында өндірілген тауар осы тауарға қатысты кедендік әкету баждарын қолданбайтын не кедендік әкету баждарының аз ставкаларын қолданатын екінші Тарап мемлекетінің аумағынан үшінші елге жеткізілсе, осы екінші Тарап, аумағында тауар өндірілген және тауарлардың жиынтық тізбесінде көрсетілген Тарап мемлекетіндегі қолданыстағы ставкалар бойынша кедендік әкету баждарын өндіріп алуды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бірі Тараптармен келісім бойынша немесе осы Келісімнің 2-бабына сәйкес жасалған келісім негізінде тауарлардың тізбесіне немесе кедендік әкету баждарының ставкаларына өзгерістер енгізген жағдайда, онда бұл Тарап жоспарланатын және енгізілген өзгерістер туралы Комиссияны хабардар етеді.
</w:t>
      </w:r>
      <w:r>
        <w:br/>
      </w:r>
      <w:r>
        <w:rPr>
          <w:rFonts w:ascii="Times New Roman"/>
          <w:b w:val="false"/>
          <w:i w:val="false"/>
          <w:color w:val="000000"/>
          <w:sz w:val="28"/>
        </w:rPr>
        <w:t>
      Комиссия тауарлардың жиынтық тізбесін түзетуді жүзеге асырады және Тараптарды оған тиісті өзгерістер енгізу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Тараптар арасындағы консультациялар және келіссөздер жолымен шешіледі, ал келісімге келмеген жағдайда Еуразиялық экономикалық қоғамдастықтың сотына қарауға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уағдаластықтары бойынша осы Келісімге жекелеген хаттамалармен ресімделетін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одан шығуға және оған қосылуға бағытталған халықаралық шарттардың күшіне енуі тәртібі туралы хаттамамен айқындалады.
</w:t>
      </w:r>
      <w:r>
        <w:br/>
      </w:r>
      <w:r>
        <w:rPr>
          <w:rFonts w:ascii="Times New Roman"/>
          <w:b w:val="false"/>
          <w:i w:val="false"/>
          <w:color w:val="000000"/>
          <w:sz w:val="28"/>
        </w:rPr>
        <w:t>
      Мәскеу қаласында 2008 жылғы 25 қаңтарда орыс тілінде бір түпнұсқа данада жасалған.
</w:t>
      </w:r>
      <w:r>
        <w:br/>
      </w:r>
      <w:r>
        <w:rPr>
          <w:rFonts w:ascii="Times New Roman"/>
          <w:b w:val="false"/>
          <w:i w:val="false"/>
          <w:color w:val="000000"/>
          <w:sz w:val="28"/>
        </w:rPr>
        <w:t>
      Осы Келісімнің түпнұсқа данасы осы Келісімнің депозитарийі болып табылатын, оның куәландырылған көшірмесін әрбір Тарапқа жіберетін Еуразиялық экономикалық қоғамдастықтың Интеграциялық комитетінде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