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90f4" w14:textId="7f69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 маусымдағы N 452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мамырдағы N 506 Қаулысы. Күші жойылды - Қазақстан Республикасы Үкіметінің 2013 жылғы 28 ақпандағы № 195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28.02.2013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"Білім беру қызметіне қойылатын лицензиялау ережесі мен оған қойылатын біліктілік талаптарын бекіту туралы" Қазақстан Республикасы Үкіметінің 2007 жылғы 2 маусымдағы N 452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18, 202-құжат)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кіріспеде "1999 жылғы 7 маусымдағы" деген сөздер "2007 жылғы 27 шілдедегі"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Білім беру қызметін лицензиялау ережесінде: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"мектепке дейінгі тәрбие беру мен оқытудың және балаларға қосымша білім берудің жалпы білім беретін оқу бағдарламаларын, балалар мен жасөспірімдерге арналған спорт бойынша қосымша білім беретін оқу бағдарламаларын іске асыратын заңды тұлғалардың білім беру қызметі;"; </w:t>
      </w:r>
    </w:p>
    <w:bookmarkEnd w:id="3"/>
    <w:bookmarkStart w:name="z5" w:id="4"/>
    <w:p>
      <w:pPr>
        <w:spacing w:after="0"/>
        <w:ind w:left="0"/>
        <w:jc w:val="both"/>
      </w:pP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"бастауыш, негізгі орта, жалпы орта, техникалық және кәсіптік білім беру, оның ішінде кәсіптер бойынша, орта оқу орнынан кейінгі, жоғары, жоғары оқу орнынан кейінгі білімнің, оның ішінде мамандықтар бойынша негізгі білім беру бағдарламаларын іске асыратын заңды тұлғалардың білім беру қызметі"; </w:t>
      </w:r>
    </w:p>
    <w:bookmarkEnd w:id="4"/>
    <w:bookmarkStart w:name="z6" w:id="5"/>
    <w:p>
      <w:pPr>
        <w:spacing w:after="0"/>
        <w:ind w:left="0"/>
        <w:jc w:val="both"/>
      </w:pPr>
      <w:r>
        <w:rPr>
          <w:rFonts w:ascii="Times New Roman"/>
          <w:b w:val="false"/>
          <w:i w:val="false"/>
          <w:color w:val="000000"/>
          <w:sz w:val="28"/>
        </w:rPr>
        <w:t xml:space="preserve">
      3 және 4-тармақтар алынып тасталсын; </w:t>
      </w:r>
    </w:p>
    <w:bookmarkEnd w:id="5"/>
    <w:bookmarkStart w:name="z7" w:id="6"/>
    <w:p>
      <w:pPr>
        <w:spacing w:after="0"/>
        <w:ind w:left="0"/>
        <w:jc w:val="both"/>
      </w:pPr>
      <w:r>
        <w:rPr>
          <w:rFonts w:ascii="Times New Roman"/>
          <w:b w:val="false"/>
          <w:i w:val="false"/>
          <w:color w:val="000000"/>
          <w:sz w:val="28"/>
        </w:rPr>
        <w:t xml:space="preserve">
      5-тармақтың үшінші абзацы алынып тасталсын; </w:t>
      </w:r>
    </w:p>
    <w:bookmarkEnd w:id="6"/>
    <w:bookmarkStart w:name="z8" w:id="7"/>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Лицензияның қолданылуын тоқтата тұру, одан айыру әкімшілік құқық бұзушылық туралы Қазақстан Республикасының заңнамасында көзделген тәртіппен жүзеге асырылады."; </w:t>
      </w:r>
    </w:p>
    <w:bookmarkEnd w:id="7"/>
    <w:bookmarkStart w:name="z9" w:id="8"/>
    <w:p>
      <w:pPr>
        <w:spacing w:after="0"/>
        <w:ind w:left="0"/>
        <w:jc w:val="both"/>
      </w:pPr>
      <w:r>
        <w:rPr>
          <w:rFonts w:ascii="Times New Roman"/>
          <w:b w:val="false"/>
          <w:i w:val="false"/>
          <w:color w:val="000000"/>
          <w:sz w:val="28"/>
        </w:rPr>
        <w:t xml:space="preserve">
      3) көрсетілген қаулымен бекітілген білім беру қызметін лицензиялау кезінде қойылатын біліктілік талаптарында: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"Мектепке дейінгі ұйымдардың" деген сөздер "Мектепке дейінгі тәрбие беру мен оқытудың жалпы білім беретін оқу бағдарламаларын іске асыратын ұйымдардың"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 2, 3 және 4-тармақтардың 7) тармақшасы мынадай редакцияда жазылсын: </w:t>
      </w:r>
      <w:r>
        <w:br/>
      </w:r>
      <w:r>
        <w:rPr>
          <w:rFonts w:ascii="Times New Roman"/>
          <w:b w:val="false"/>
          <w:i w:val="false"/>
          <w:color w:val="000000"/>
          <w:sz w:val="28"/>
        </w:rPr>
        <w:t xml:space="preserve">
      "7)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9"/>
    <w:bookmarkStart w:name="z11" w:id="10"/>
    <w:p>
      <w:pPr>
        <w:spacing w:after="0"/>
        <w:ind w:left="0"/>
        <w:jc w:val="both"/>
      </w:pPr>
      <w:r>
        <w:rPr>
          <w:rFonts w:ascii="Times New Roman"/>
          <w:b w:val="false"/>
          <w:i w:val="false"/>
          <w:color w:val="000000"/>
          <w:sz w:val="28"/>
        </w:rPr>
        <w:t xml:space="preserve">
      2-тармақтың бірінші абзацында "Жалпы бастауыш білім беретін" деген сөздер "Бастауыш білімнің оқу бағдарламаларын іске асыратын"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3-тармақтың бірінші абзацында "Жалпы негізгі білім беретін" деген сөздер "Негізгі орта білімнің оқу бағдарламаларын іске асыратын"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4-тармақтың бірінші абзацында "Жалпы орта білім беретін" деген сөздер "Жалпы орта білімнің оқу бағдарламаларын іске асыратын"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абзацта "Мектептен тыс ұйымдардың қызметіне" деген сөздер "Балаларға арналған қосымша білім беру, сондай-ақ балалар мен жасөспірімдерге арналған спорт бағдарламаларын іске асыратын ұйымдарға"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14"/>
    <w:bookmarkStart w:name="z16" w:id="15"/>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 "Кәсіптік бастауыш білім беретін" деген сөздер "Техникалық және кәсіптік білім берудің оқу бағдарламаларын іске асыратын"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тиісті кәсіптер немесе мамандықтар бойынша мемлекеттік жалпыға міндетті стандарттың талаптарын орындау үшін қажетті компьютерлік сыныппен, оқу-зертханалық жабдықпен, арнайы оқу жабдығымен және техникалық оқу құралдарымен жарақтандырылуы;"; </w:t>
      </w:r>
    </w:p>
    <w:bookmarkEnd w:id="16"/>
    <w:bookmarkStart w:name="z18" w:id="17"/>
    <w:p>
      <w:pPr>
        <w:spacing w:after="0"/>
        <w:ind w:left="0"/>
        <w:jc w:val="both"/>
      </w:pP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17"/>
    <w:bookmarkStart w:name="z19" w:id="18"/>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"Орта білімнен кейінгі кәсіптік бағдарламаларды іске асыратын білім беру ұйымдарының қызметіне қойылатын біліктілік талаптары: </w:t>
      </w:r>
      <w:r>
        <w:br/>
      </w:r>
      <w:r>
        <w:rPr>
          <w:rFonts w:ascii="Times New Roman"/>
          <w:b w:val="false"/>
          <w:i w:val="false"/>
          <w:color w:val="000000"/>
          <w:sz w:val="28"/>
        </w:rPr>
        <w:t xml:space="preserve">
      1) білім беру ұйымы жағдайының қолданыстағы санитарлық ережелер мен нормаларға сәйкестігі; </w:t>
      </w:r>
      <w:r>
        <w:br/>
      </w:r>
      <w:r>
        <w:rPr>
          <w:rFonts w:ascii="Times New Roman"/>
          <w:b w:val="false"/>
          <w:i w:val="false"/>
          <w:color w:val="000000"/>
          <w:sz w:val="28"/>
        </w:rPr>
        <w:t xml:space="preserve">
      2) штаттағы оқытушылар үлесі олардың жалпы санының 70 пайызынан кем болмауы; </w:t>
      </w:r>
      <w:r>
        <w:br/>
      </w:r>
      <w:r>
        <w:rPr>
          <w:rFonts w:ascii="Times New Roman"/>
          <w:b w:val="false"/>
          <w:i w:val="false"/>
          <w:color w:val="000000"/>
          <w:sz w:val="28"/>
        </w:rPr>
        <w:t xml:space="preserve">
      3) жоғары және бірінші санаттағы оқытушылар үлесі және (немесе) магистрлар, ғылым кандидаттары, докторлары, ғылыми атақтарымен олардың жалпы санының 40 пайызынан кем болмауы; </w:t>
      </w:r>
      <w:r>
        <w:br/>
      </w:r>
      <w:r>
        <w:rPr>
          <w:rFonts w:ascii="Times New Roman"/>
          <w:b w:val="false"/>
          <w:i w:val="false"/>
          <w:color w:val="000000"/>
          <w:sz w:val="28"/>
        </w:rPr>
        <w:t xml:space="preserve">
      4) оқушылар құрамына шаққанда бір білім алушыға толық оқу цикліне саны кемінде 40 бірлік басылымнан келетін оқу мен оқу-әдістемелік әдебиеті қорының болуы; </w:t>
      </w:r>
      <w:r>
        <w:br/>
      </w:r>
      <w:r>
        <w:rPr>
          <w:rFonts w:ascii="Times New Roman"/>
          <w:b w:val="false"/>
          <w:i w:val="false"/>
          <w:color w:val="000000"/>
          <w:sz w:val="28"/>
        </w:rPr>
        <w:t xml:space="preserve">
      5) жұмыс оқу жоспарлары мен жұмыс бағдарламаларының мемлекеттік жалпыға міндетті білім беру стандарттарына сәйкестігі; </w:t>
      </w:r>
      <w:r>
        <w:br/>
      </w:r>
      <w:r>
        <w:rPr>
          <w:rFonts w:ascii="Times New Roman"/>
          <w:b w:val="false"/>
          <w:i w:val="false"/>
          <w:color w:val="000000"/>
          <w:sz w:val="28"/>
        </w:rPr>
        <w:t xml:space="preserve">
      6) компьютерлік сыныппен, оқу-зертхана жабдығымен, арнайы оқу жабдығымен және тиісті мамандық бойынша мемлекеттік жалпыға міндетті стандарттың талаптарын орындау үшін қажетті техникалық оқу құралдарымен жарақтандырылуы; </w:t>
      </w:r>
      <w:r>
        <w:br/>
      </w:r>
      <w:r>
        <w:rPr>
          <w:rFonts w:ascii="Times New Roman"/>
          <w:b w:val="false"/>
          <w:i w:val="false"/>
          <w:color w:val="000000"/>
          <w:sz w:val="28"/>
        </w:rPr>
        <w:t xml:space="preserve">
      7) білім алушының бір жылғы оқуына ең төмен шығыстардың Қазақстан Республикасы Үкіметінің тиісті оқу жылына арналған орта білімнен кейін мамандар даярлауға арналған мемлекеттік тапсырысты бекіту жөніндегі қаулысында көзделген шығыстар деңгейіне сәйкестігі; </w:t>
      </w:r>
      <w:r>
        <w:br/>
      </w:r>
      <w:r>
        <w:rPr>
          <w:rFonts w:ascii="Times New Roman"/>
          <w:b w:val="false"/>
          <w:i w:val="false"/>
          <w:color w:val="000000"/>
          <w:sz w:val="28"/>
        </w:rPr>
        <w:t xml:space="preserve">
      8) білім беру ұйымдарының практикадан өткізу базалары ретінде белгіленген ұйымдармен жасалған шарттарының болуы; </w:t>
      </w:r>
      <w:r>
        <w:br/>
      </w:r>
      <w:r>
        <w:rPr>
          <w:rFonts w:ascii="Times New Roman"/>
          <w:b w:val="false"/>
          <w:i w:val="false"/>
          <w:color w:val="000000"/>
          <w:sz w:val="28"/>
        </w:rPr>
        <w:t xml:space="preserve">
      9) білім алушыларға медициналық қызмет көрсетудің болуы; </w:t>
      </w:r>
      <w:r>
        <w:br/>
      </w:r>
      <w:r>
        <w:rPr>
          <w:rFonts w:ascii="Times New Roman"/>
          <w:b w:val="false"/>
          <w:i w:val="false"/>
          <w:color w:val="000000"/>
          <w:sz w:val="28"/>
        </w:rPr>
        <w:t xml:space="preserve">
      10) білім алушыларға арналған тамақтандыру объектісінің болуы; </w:t>
      </w:r>
      <w:r>
        <w:br/>
      </w:r>
      <w:r>
        <w:rPr>
          <w:rFonts w:ascii="Times New Roman"/>
          <w:b w:val="false"/>
          <w:i w:val="false"/>
          <w:color w:val="000000"/>
          <w:sz w:val="28"/>
        </w:rPr>
        <w:t xml:space="preserve">
      11) меншік не шаруашылық жүргізу немесе жедел басқару құқығына тиесілі орта білімнен кейін оқу бағдарламаларын іске асыруға арналған жағдайларды қамтамасыз ететін материалдық және материалдық емес активтердің болуы."; </w:t>
      </w:r>
    </w:p>
    <w:bookmarkEnd w:id="18"/>
    <w:bookmarkStart w:name="z20" w:id="19"/>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"Бакалавр" академиялық дәрежесін тағайындай отырып, жоғары білім берудің оқу бағдарламаларын іске асыратын білім беру ұйымдарының қызметіне қойылатын біліктілік талаптары: </w:t>
      </w:r>
      <w:r>
        <w:br/>
      </w:r>
      <w:r>
        <w:rPr>
          <w:rFonts w:ascii="Times New Roman"/>
          <w:b w:val="false"/>
          <w:i w:val="false"/>
          <w:color w:val="000000"/>
          <w:sz w:val="28"/>
        </w:rPr>
        <w:t xml:space="preserve">
      1) жоғары білім берудің кәсіптік оқу бағдарламаларын іске асыру; </w:t>
      </w:r>
      <w:r>
        <w:br/>
      </w:r>
      <w:r>
        <w:rPr>
          <w:rFonts w:ascii="Times New Roman"/>
          <w:b w:val="false"/>
          <w:i w:val="false"/>
          <w:color w:val="000000"/>
          <w:sz w:val="28"/>
        </w:rPr>
        <w:t xml:space="preserve">
      2) университеттер, институттар, жоғары мектептер, жоғары училищелер үшін ғылыми және педагогикалық қызмет жүргізу, кадрлардың біліктілігін арттыру және оларды қайта даярлау; академиялар, консерваториялар үшін ғылыми-зерттеу және педагогикалық қызмет жүргізу, кадрлардың біліктілігін арттыру және оларды қайта даярлау; </w:t>
      </w:r>
      <w:r>
        <w:br/>
      </w:r>
      <w:r>
        <w:rPr>
          <w:rFonts w:ascii="Times New Roman"/>
          <w:b w:val="false"/>
          <w:i w:val="false"/>
          <w:color w:val="000000"/>
          <w:sz w:val="28"/>
        </w:rPr>
        <w:t xml:space="preserve">
      3) бір оқытушыға шаққанда студенттер контингентінің жоғары оқу орындарының оқу-материалдық активтеріне қойылатын жалпы талаптарды белгілейтін мемлекеттік жалпыға міндетті білім беру стандарттарына сәйкестігі; </w:t>
      </w:r>
      <w:r>
        <w:br/>
      </w:r>
      <w:r>
        <w:rPr>
          <w:rFonts w:ascii="Times New Roman"/>
          <w:b w:val="false"/>
          <w:i w:val="false"/>
          <w:color w:val="000000"/>
          <w:sz w:val="28"/>
        </w:rPr>
        <w:t xml:space="preserve">
      4) білім беру ұйымы жағдайының қолданыстағы санитарлық ережелер мен нормаларға сәйкестігі; </w:t>
      </w:r>
      <w:r>
        <w:br/>
      </w:r>
      <w:r>
        <w:rPr>
          <w:rFonts w:ascii="Times New Roman"/>
          <w:b w:val="false"/>
          <w:i w:val="false"/>
          <w:color w:val="000000"/>
          <w:sz w:val="28"/>
        </w:rPr>
        <w:t xml:space="preserve">
      5) штаттағы оқытушылар үлесі олардың жалпы санының, оның ішінде мемлекеттік жалпыға міндетті білім беру стандартының базалық циклдері мен бейінді пәндері бойынша: институттар, жоғары мектептер, жоғары училищелер үшін 50 пайыздан кем болмауы; академиялар, консерваториялар үшін 60 пайыздан кем болмауы; университеттер үшін 70 пайыздан кем болмауы; </w:t>
      </w:r>
      <w:r>
        <w:br/>
      </w:r>
      <w:r>
        <w:rPr>
          <w:rFonts w:ascii="Times New Roman"/>
          <w:b w:val="false"/>
          <w:i w:val="false"/>
          <w:color w:val="000000"/>
          <w:sz w:val="28"/>
        </w:rPr>
        <w:t xml:space="preserve">
      6) оқытушылар үлесі: </w:t>
      </w:r>
      <w:r>
        <w:br/>
      </w:r>
      <w:r>
        <w:rPr>
          <w:rFonts w:ascii="Times New Roman"/>
          <w:b w:val="false"/>
          <w:i w:val="false"/>
          <w:color w:val="000000"/>
          <w:sz w:val="28"/>
        </w:rPr>
        <w:t xml:space="preserve">
      ғылым докторлары, ғылым кандидаттары, философия докторлары (PhD), бейін бойынша докторлар, ғылыми атақтары бар оқытушылар, ал өнер және мәдени білім беру ұйымдары үшін штаттағы оқытушылар санының Қазақстан Республикасының құрметті атақтары бар оқытушылары, оның ішінде мемлекеттік жалпыға міндетті білім беру стандартының базалық және бейіндік пәндер бойынша оқытушылар: институттар, жоғары мектептер, жоғары училищелер үшін 35 пайыздан кем болмауы; академиялар, консерваториялар, университеттер үшін 45 пайыздан кем болмауы; </w:t>
      </w:r>
      <w:r>
        <w:br/>
      </w:r>
      <w:r>
        <w:rPr>
          <w:rFonts w:ascii="Times New Roman"/>
          <w:b w:val="false"/>
          <w:i w:val="false"/>
          <w:color w:val="000000"/>
          <w:sz w:val="28"/>
        </w:rPr>
        <w:t xml:space="preserve">
      Қазақстан Республикасы Қорғаныс, Ішкі істер, Төтенше жағдайлар министрліктеріне және Қазақстан Республикасы Ұлттық қауіпсіздік комитетіне ведомстволық бағынысты білім беру ұйымдары үшін оқытушылар үлесі: ғылым докторлары, ғылым кандидаттары, философия докторлары (PhD), бейін бойынша докторлар, ғылыми атақтары бар, сондай-ақ азаматтық қорғаныс, өрт қауіпсіздігі, төтенше жағдайлар салаларында әскери академияларды, университеттерді бітіргені туралы дипломы бар оқытушылар, жедел бөлімшелерде қызметтен өткен полковник әскери атағынан төмен емес оқытушылар, штаттағы оқытушылар санынан "спорт шебері" және одан жоғары атағы барлар, оның ішінде мемлекеттік жалпыға міндетті білім беру стандартының базалық және бейіндік пәндері бойынша 35 пайыздан кем болмауы; </w:t>
      </w:r>
      <w:r>
        <w:br/>
      </w:r>
      <w:r>
        <w:rPr>
          <w:rFonts w:ascii="Times New Roman"/>
          <w:b w:val="false"/>
          <w:i w:val="false"/>
          <w:color w:val="000000"/>
          <w:sz w:val="28"/>
        </w:rPr>
        <w:t xml:space="preserve">
      7) 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 бар болуы тиіс. Кітапхана қоры соңғы 5 жылдағы әлеуметтік-гуманитарлық бейіндегі пәндер бойынша; соңғы 10 жылдағы жаратылыстану, техникалық, ауыл шаруашылығы және басқа да пәндер бойынша негізгі оқу әдебиеті басылымдарын қамтуға тиіс. Институттар, жоғары мектептер, жоғары училищелер үшін электрондық және магниттік жеткізгіштердегі оқу әдебиетімен қамтамасыз етілуі мамандықтың оқу жоспарындағы пәндердің 10 пайызынан кем болмауы; академиялар, консерваториялар үшін мамандықтың оқу жоспары пәндерінің 15 пайызынан кем болмауы; университеттер үшін мамандықтың оқу жоспары пәндерінің 20 пайызынан кем болмауы; </w:t>
      </w:r>
      <w:r>
        <w:br/>
      </w:r>
      <w:r>
        <w:rPr>
          <w:rFonts w:ascii="Times New Roman"/>
          <w:b w:val="false"/>
          <w:i w:val="false"/>
          <w:color w:val="000000"/>
          <w:sz w:val="28"/>
        </w:rPr>
        <w:t xml:space="preserve">
      8) жұмыс оқу жоспарларының және жұмыс оқу бағдарламаларының мемлекеттік жалпыға міндетті білім беру стандарттарына сәйкестігі; </w:t>
      </w:r>
      <w:r>
        <w:br/>
      </w:r>
      <w:r>
        <w:rPr>
          <w:rFonts w:ascii="Times New Roman"/>
          <w:b w:val="false"/>
          <w:i w:val="false"/>
          <w:color w:val="000000"/>
          <w:sz w:val="28"/>
        </w:rPr>
        <w:t xml:space="preserve">
      9) білім беру оқу бағдарламаларын іске асыру үшін қажетті оқу-зертханалық жабдықпен жарақтандырылуы; </w:t>
      </w:r>
      <w:r>
        <w:br/>
      </w:r>
      <w:r>
        <w:rPr>
          <w:rFonts w:ascii="Times New Roman"/>
          <w:b w:val="false"/>
          <w:i w:val="false"/>
          <w:color w:val="000000"/>
          <w:sz w:val="28"/>
        </w:rPr>
        <w:t xml:space="preserve">
      10) 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 </w:t>
      </w:r>
      <w:r>
        <w:br/>
      </w:r>
      <w:r>
        <w:rPr>
          <w:rFonts w:ascii="Times New Roman"/>
          <w:b w:val="false"/>
          <w:i w:val="false"/>
          <w:color w:val="000000"/>
          <w:sz w:val="28"/>
        </w:rPr>
        <w:t xml:space="preserve">
      11) практикадан өткізу базалары ретінде белгіленген ұйымдармен жасалған шарттардың болуы; </w:t>
      </w:r>
      <w:r>
        <w:br/>
      </w:r>
      <w:r>
        <w:rPr>
          <w:rFonts w:ascii="Times New Roman"/>
          <w:b w:val="false"/>
          <w:i w:val="false"/>
          <w:color w:val="000000"/>
          <w:sz w:val="28"/>
        </w:rPr>
        <w:t xml:space="preserve">
      12) білім алушыларға медициналық қызмет көрсетудің болуы; </w:t>
      </w:r>
      <w:r>
        <w:br/>
      </w:r>
      <w:r>
        <w:rPr>
          <w:rFonts w:ascii="Times New Roman"/>
          <w:b w:val="false"/>
          <w:i w:val="false"/>
          <w:color w:val="000000"/>
          <w:sz w:val="28"/>
        </w:rPr>
        <w:t xml:space="preserve">
      13) білім алушыларға арналған тамақтандыру объектісінің болуы; </w:t>
      </w:r>
      <w:r>
        <w:br/>
      </w:r>
      <w:r>
        <w:rPr>
          <w:rFonts w:ascii="Times New Roman"/>
          <w:b w:val="false"/>
          <w:i w:val="false"/>
          <w:color w:val="000000"/>
          <w:sz w:val="28"/>
        </w:rPr>
        <w:t xml:space="preserve">
      14)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19"/>
    <w:bookmarkStart w:name="z21" w:id="20"/>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"Магистр" академиялық дәрежесін тағайындай отырып, жоғары оқу орнынан кейінгі білім беру оқу бағдарламаларын іске асыратын білім беру ұйымдарының және ғылыми ұйымдардың қызметіне қойылатын біліктілік талаптары:"; </w:t>
      </w:r>
    </w:p>
    <w:bookmarkEnd w:id="20"/>
    <w:bookmarkStart w:name="z22" w:id="21"/>
    <w:p>
      <w:pPr>
        <w:spacing w:after="0"/>
        <w:ind w:left="0"/>
        <w:jc w:val="both"/>
      </w:pPr>
      <w:r>
        <w:rPr>
          <w:rFonts w:ascii="Times New Roman"/>
          <w:b w:val="false"/>
          <w:i w:val="false"/>
          <w:color w:val="000000"/>
          <w:sz w:val="28"/>
        </w:rPr>
        <w:t xml:space="preserve">
      1), 2), 7), 10) және 13) тармақшалар алынып тасталсын; </w:t>
      </w:r>
    </w:p>
    <w:bookmarkEnd w:id="21"/>
    <w:bookmarkStart w:name="z23" w:id="22"/>
    <w:p>
      <w:pPr>
        <w:spacing w:after="0"/>
        <w:ind w:left="0"/>
        <w:jc w:val="both"/>
      </w:pP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оқытушылар үлесі: штаттағы оқытушылар санының, оның ішінде мемлекеттік жалпыға міндетті білім беру стандартының базалық циклдері және бейінді пәндері бойынша ғылым докторлары, ғылым кандидаттары, философия докторлары (PhD), бейін бойынша докторлар, ғылыми атақтары бар оқытушылар мамандықтар бойынша 45 пайыздан кем болмауы"; </w:t>
      </w:r>
    </w:p>
    <w:bookmarkEnd w:id="22"/>
    <w:bookmarkStart w:name="z24" w:id="23"/>
    <w:p>
      <w:pPr>
        <w:spacing w:after="0"/>
        <w:ind w:left="0"/>
        <w:jc w:val="both"/>
      </w:pPr>
      <w:r>
        <w:rPr>
          <w:rFonts w:ascii="Times New Roman"/>
          <w:b w:val="false"/>
          <w:i w:val="false"/>
          <w:color w:val="000000"/>
          <w:sz w:val="28"/>
        </w:rPr>
        <w:t xml:space="preserve">
      11) тармақша "меншікті" деген сөзден кейін "не" деген сөзбен толықтырылсын, "білім алу үшін жағдайларды" деген сөздер "білім беру қызметінің сапасын"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12) тармақшада "кәсіптік білімді" деген сөздер "жоғары оқу орнынан кейінгі білімі бар"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"білім беру ұйымдары жағдайының қолданыстағы санитарлық ережелер мен нормаларға сәйкестігі;"; </w:t>
      </w:r>
    </w:p>
    <w:bookmarkEnd w:id="25"/>
    <w:bookmarkStart w:name="z27" w:id="26"/>
    <w:p>
      <w:pPr>
        <w:spacing w:after="0"/>
        <w:ind w:left="0"/>
        <w:jc w:val="both"/>
      </w:pPr>
      <w:r>
        <w:rPr>
          <w:rFonts w:ascii="Times New Roman"/>
          <w:b w:val="false"/>
          <w:i w:val="false"/>
          <w:color w:val="000000"/>
          <w:sz w:val="28"/>
        </w:rPr>
        <w:t xml:space="preserve">
      мынадай мазмұндағы 19) тармақшамен толықтырылсын: </w:t>
      </w:r>
      <w:r>
        <w:br/>
      </w:r>
      <w:r>
        <w:rPr>
          <w:rFonts w:ascii="Times New Roman"/>
          <w:b w:val="false"/>
          <w:i w:val="false"/>
          <w:color w:val="000000"/>
          <w:sz w:val="28"/>
        </w:rPr>
        <w:t xml:space="preserve">
      "19) жұмыс оқу жоспарлары мен жұмыс оқу бағдарламаларының мемлекеттік жалпыға міндетті білім беру стандарттарына сәйкестігі."; </w:t>
      </w:r>
    </w:p>
    <w:bookmarkEnd w:id="26"/>
    <w:bookmarkStart w:name="z28" w:id="27"/>
    <w:p>
      <w:pPr>
        <w:spacing w:after="0"/>
        <w:ind w:left="0"/>
        <w:jc w:val="both"/>
      </w:pPr>
      <w:r>
        <w:rPr>
          <w:rFonts w:ascii="Times New Roman"/>
          <w:b w:val="false"/>
          <w:i w:val="false"/>
          <w:color w:val="000000"/>
          <w:sz w:val="28"/>
        </w:rPr>
        <w:t xml:space="preserve">
      10-тармақтың 6) тармақшасында "діни конфессияның" деген сөздер "діни басқарманың (орталықтың)"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"Жоғары оқу орнынан кейінгі білім беру (резидентура және адъюнктура) оқу бағдарламаларын іске асыратын білім беру ұйымдарының және ғылыми ұйымдардың қызметіне қойылатын біліктілік талаптары:"; </w:t>
      </w:r>
    </w:p>
    <w:bookmarkEnd w:id="28"/>
    <w:bookmarkStart w:name="z30" w:id="29"/>
    <w:p>
      <w:pPr>
        <w:spacing w:after="0"/>
        <w:ind w:left="0"/>
        <w:jc w:val="both"/>
      </w:pP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"кемінде үш жыл ғылыми-педагогикалық жұмыс стажы, даярлық бейіні бойынша отандық және шетелдік басылымдарда, халықаралық конференциялардағы еңбектерінде ғылыми жарияланымдары, оқу құралдары бар әрбір ғылыми даярлық мамандық бойынша резидентура, адъюнктура үшін кемінде екі штаттық ғылым докторының болуы"; </w:t>
      </w:r>
    </w:p>
    <w:bookmarkEnd w:id="29"/>
    <w:bookmarkStart w:name="z31" w:id="30"/>
    <w:p>
      <w:pPr>
        <w:spacing w:after="0"/>
        <w:ind w:left="0"/>
        <w:jc w:val="both"/>
      </w:pPr>
      <w:r>
        <w:rPr>
          <w:rFonts w:ascii="Times New Roman"/>
          <w:b w:val="false"/>
          <w:i w:val="false"/>
          <w:color w:val="000000"/>
          <w:sz w:val="28"/>
        </w:rPr>
        <w:t xml:space="preserve">
      мынадай мазмұндағы 3), 4), 5), 6), 7), 8), 9) және 10) тармақшалармен толықтырылсын: </w:t>
      </w:r>
      <w:r>
        <w:br/>
      </w:r>
      <w:r>
        <w:rPr>
          <w:rFonts w:ascii="Times New Roman"/>
          <w:b w:val="false"/>
          <w:i w:val="false"/>
          <w:color w:val="000000"/>
          <w:sz w:val="28"/>
        </w:rPr>
        <w:t xml:space="preserve">
      "3) білім беру ұйымдары жағдайының қолданыстағы санитарлық ережелер мен нормаларға сәйкестігі; </w:t>
      </w:r>
      <w:r>
        <w:br/>
      </w:r>
      <w:r>
        <w:rPr>
          <w:rFonts w:ascii="Times New Roman"/>
          <w:b w:val="false"/>
          <w:i w:val="false"/>
          <w:color w:val="000000"/>
          <w:sz w:val="28"/>
        </w:rPr>
        <w:t xml:space="preserve">
      4) резидентура, адъюнктура тыңдаушыларының жеке жоспарларына сәйкес қажетті жабдықпен, зертханалармен, кітапханалармен қамтамасыз етілуі; </w:t>
      </w:r>
      <w:r>
        <w:br/>
      </w:r>
      <w:r>
        <w:rPr>
          <w:rFonts w:ascii="Times New Roman"/>
          <w:b w:val="false"/>
          <w:i w:val="false"/>
          <w:color w:val="000000"/>
          <w:sz w:val="28"/>
        </w:rPr>
        <w:t xml:space="preserve">
      5) жұмыс оқу жоспарлары мен жұмыс оқу бағдарламаларының мемлекеттік жалпыға міндетті білім беру стандарттарына сәйкестігі; </w:t>
      </w:r>
      <w:r>
        <w:br/>
      </w:r>
      <w:r>
        <w:rPr>
          <w:rFonts w:ascii="Times New Roman"/>
          <w:b w:val="false"/>
          <w:i w:val="false"/>
          <w:color w:val="000000"/>
          <w:sz w:val="28"/>
        </w:rPr>
        <w:t xml:space="preserve">
      6) студенттің бір жылғы оқуына жұмсалатын ең төменгі шығыстардың Қазақстан Республикасы Үкіметінің тиісті оқу жылына арналған жоғары білімді мамандар даярлауға арналған мемлекеттік тапсырысты бекіту жөніндегі қаулысында көзделген шығыстар деңгейіне сәйкестігі; </w:t>
      </w:r>
      <w:r>
        <w:br/>
      </w:r>
      <w:r>
        <w:rPr>
          <w:rFonts w:ascii="Times New Roman"/>
          <w:b w:val="false"/>
          <w:i w:val="false"/>
          <w:color w:val="000000"/>
          <w:sz w:val="28"/>
        </w:rPr>
        <w:t xml:space="preserve">
      7) практикадан өткізу базалары ретінде белгіленген ұйымдармен жасалған шарттардың болуы; </w:t>
      </w:r>
      <w:r>
        <w:br/>
      </w:r>
      <w:r>
        <w:rPr>
          <w:rFonts w:ascii="Times New Roman"/>
          <w:b w:val="false"/>
          <w:i w:val="false"/>
          <w:color w:val="000000"/>
          <w:sz w:val="28"/>
        </w:rPr>
        <w:t xml:space="preserve">
      8) білім алушыларға медициналық қызмет көрсетудің болуы; </w:t>
      </w:r>
      <w:r>
        <w:br/>
      </w:r>
      <w:r>
        <w:rPr>
          <w:rFonts w:ascii="Times New Roman"/>
          <w:b w:val="false"/>
          <w:i w:val="false"/>
          <w:color w:val="000000"/>
          <w:sz w:val="28"/>
        </w:rPr>
        <w:t xml:space="preserve">
      9) білім алушыларға арналған тамақтандыру объектісінің болуы; </w:t>
      </w:r>
      <w:r>
        <w:br/>
      </w:r>
      <w:r>
        <w:rPr>
          <w:rFonts w:ascii="Times New Roman"/>
          <w:b w:val="false"/>
          <w:i w:val="false"/>
          <w:color w:val="000000"/>
          <w:sz w:val="28"/>
        </w:rPr>
        <w:t xml:space="preserve">
      10)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30"/>
    <w:bookmarkStart w:name="z32" w:id="31"/>
    <w:p>
      <w:pPr>
        <w:spacing w:after="0"/>
        <w:ind w:left="0"/>
        <w:jc w:val="both"/>
      </w:pP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Философия докторы (PhD) және бейіні бойынша доктор: жоғары академиялық дәрежесін тағайындай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қызметіне қойылатын біліктілік талаптары: </w:t>
      </w:r>
      <w:r>
        <w:br/>
      </w:r>
      <w:r>
        <w:rPr>
          <w:rFonts w:ascii="Times New Roman"/>
          <w:b w:val="false"/>
          <w:i w:val="false"/>
          <w:color w:val="000000"/>
          <w:sz w:val="28"/>
        </w:rPr>
        <w:t xml:space="preserve">
      1) жоғары оқу орнынан кейінгі білімнің кәсіптік оқу бағдарламаларын іске асыру; </w:t>
      </w:r>
      <w:r>
        <w:br/>
      </w:r>
      <w:r>
        <w:rPr>
          <w:rFonts w:ascii="Times New Roman"/>
          <w:b w:val="false"/>
          <w:i w:val="false"/>
          <w:color w:val="000000"/>
          <w:sz w:val="28"/>
        </w:rPr>
        <w:t xml:space="preserve">
      2) білім беру ұйымдары жағдайының қолданыстағы санитарлық ережелер мен нормаларға сәйкестігі; </w:t>
      </w:r>
      <w:r>
        <w:br/>
      </w:r>
      <w:r>
        <w:rPr>
          <w:rFonts w:ascii="Times New Roman"/>
          <w:b w:val="false"/>
          <w:i w:val="false"/>
          <w:color w:val="000000"/>
          <w:sz w:val="28"/>
        </w:rPr>
        <w:t xml:space="preserve">
      3) оқытушылар үлесі: штаттағы оқытушылар санының, оның ішінде мемлекеттік жалпыға міндетті білім беру стандартының базалық циклдері және бейінді пәндері бойынша ғылым докторлары, ғылым кандидаттары, философия докторлары (PhD), бейін бойынша докторлар, ғылыми атақтары бар оқытушылар мамандықтар бойынша 50 пайыздан кем болмауы; тиісті мамандықтар бойынша философия докторы (PhD) және бейіні бойынша доктор дәрежелері бар шетелдік ғалымдардың болуы; </w:t>
      </w:r>
      <w:r>
        <w:br/>
      </w:r>
      <w:r>
        <w:rPr>
          <w:rFonts w:ascii="Times New Roman"/>
          <w:b w:val="false"/>
          <w:i w:val="false"/>
          <w:color w:val="000000"/>
          <w:sz w:val="28"/>
        </w:rPr>
        <w:t xml:space="preserve">
      4) жұмыс оқу жоспарлары мен жұмыс оқу бағдарламаларының мемлекеттік жалпыға міндетті білім беру стандарттарына сәйкестігі; </w:t>
      </w:r>
      <w:r>
        <w:br/>
      </w:r>
      <w:r>
        <w:rPr>
          <w:rFonts w:ascii="Times New Roman"/>
          <w:b w:val="false"/>
          <w:i w:val="false"/>
          <w:color w:val="000000"/>
          <w:sz w:val="28"/>
        </w:rPr>
        <w:t xml:space="preserve">
      5) докторантура бағдарламаларын іске асыратын жетекші аккредиттелген шетелдік білім беру-ғылыми ұйымдармен ғылыми алмасу туралы шарттардың болуы; </w:t>
      </w:r>
      <w:r>
        <w:br/>
      </w:r>
      <w:r>
        <w:rPr>
          <w:rFonts w:ascii="Times New Roman"/>
          <w:b w:val="false"/>
          <w:i w:val="false"/>
          <w:color w:val="000000"/>
          <w:sz w:val="28"/>
        </w:rPr>
        <w:t xml:space="preserve">
      6) білім беру бағдарламаларын іске асыру үшін қажетті аудиторлық қормен, компьютерлік сыныптармен, зертханалармен, құралдармен қамтамасыз етумен, қор материалымен жарақтандырылуы; </w:t>
      </w:r>
      <w:r>
        <w:br/>
      </w:r>
      <w:r>
        <w:rPr>
          <w:rFonts w:ascii="Times New Roman"/>
          <w:b w:val="false"/>
          <w:i w:val="false"/>
          <w:color w:val="000000"/>
          <w:sz w:val="28"/>
        </w:rPr>
        <w:t xml:space="preserve">
      7) білім алушының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 </w:t>
      </w:r>
      <w:r>
        <w:br/>
      </w:r>
      <w:r>
        <w:rPr>
          <w:rFonts w:ascii="Times New Roman"/>
          <w:b w:val="false"/>
          <w:i w:val="false"/>
          <w:color w:val="000000"/>
          <w:sz w:val="28"/>
        </w:rPr>
        <w:t xml:space="preserve">
      8) практикадан өткізу базалары ретінде белгіленген ұйымдармен жасалған шарттардың болуы; </w:t>
      </w:r>
      <w:r>
        <w:br/>
      </w:r>
      <w:r>
        <w:rPr>
          <w:rFonts w:ascii="Times New Roman"/>
          <w:b w:val="false"/>
          <w:i w:val="false"/>
          <w:color w:val="000000"/>
          <w:sz w:val="28"/>
        </w:rPr>
        <w:t xml:space="preserve">
      9) білім алушыларға медициналық қызмет көрсетудің болуы; </w:t>
      </w:r>
      <w:r>
        <w:br/>
      </w:r>
      <w:r>
        <w:rPr>
          <w:rFonts w:ascii="Times New Roman"/>
          <w:b w:val="false"/>
          <w:i w:val="false"/>
          <w:color w:val="000000"/>
          <w:sz w:val="28"/>
        </w:rPr>
        <w:t xml:space="preserve">
      10) білім алушыларға арналған тамақтандыру объектісінің болуы; </w:t>
      </w:r>
      <w:r>
        <w:br/>
      </w:r>
      <w:r>
        <w:rPr>
          <w:rFonts w:ascii="Times New Roman"/>
          <w:b w:val="false"/>
          <w:i w:val="false"/>
          <w:color w:val="000000"/>
          <w:sz w:val="28"/>
        </w:rPr>
        <w:t xml:space="preserve">
      11) меншік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w:t>
      </w:r>
    </w:p>
    <w:bookmarkEnd w:id="31"/>
    <w:bookmarkStart w:name="z33" w:id="32"/>
    <w:p>
      <w:pPr>
        <w:spacing w:after="0"/>
        <w:ind w:left="0"/>
        <w:jc w:val="both"/>
      </w:pPr>
      <w:r>
        <w:rPr>
          <w:rFonts w:ascii="Times New Roman"/>
          <w:b w:val="false"/>
          <w:i w:val="false"/>
          <w:color w:val="000000"/>
          <w:sz w:val="28"/>
        </w:rPr>
        <w:t xml:space="preserve">
      2. Осы қаулы алғаш рет ресми жарияланғаннан кейін жиырма бір күнтізбелік күн өткен соң қолданысқа енгізіледі.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