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e50b" w14:textId="ebce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"Республикалық диагностикалық орталық"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мамырдағы N 421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"Мемлекеттік кәсіпорын туралы"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1995 жылғы 19 маусымдағы Заңына және "Астана қаласында жаңа орталықтардың базасында медициналық қызметтер кластерін құру жөніндегі жоспарды бекіту туралы" Қазақстан Республикасы Үкіметінің 2006 жылғы 31 шілдедегі N 719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Қазақстан Республикасы Денсаулық сақтау министрлігінің "Республикалық диагностикалық орталық" шаруашылық жүргізу құқығындағы республикалық мемлекеттік кәсіпорны (бұдан әрі - кәсіпорын) құрылсын.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кәсіпорынды мемлекеттік басқару органы болып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денсаулық сақтау саласында өндірістік-шаруашылық қызметті жүзеге асыру болып белгіленсін.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 заңнамада белгіленген тәртіппен: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Қазақстан Республикасы Қаржы министрлігінің Мемлекеттік мүлік және жекешелендіру комитетіне бекітуге енгізсін;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мемлекеттік тіркеуді қамтамасыз етсін;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