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ec862" w14:textId="ebec8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28 сәуірдегі N 393 Қаулысы</w:t>
      </w:r>
    </w:p>
    <w:p>
      <w:pPr>
        <w:spacing w:after="0"/>
        <w:ind w:left="0"/>
        <w:jc w:val="both"/>
      </w:pPr>
      <w:bookmarkStart w:name="z1" w:id="0"/>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Заңына </w:t>
      </w:r>
      <w:r>
        <w:rPr>
          <w:rFonts w:ascii="Times New Roman"/>
          <w:b w:val="false"/>
          <w:i w:val="false"/>
          <w:color w:val="000000"/>
          <w:sz w:val="28"/>
        </w:rPr>
        <w:t>,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Қазақстан Республикасы Энергетика және минералдық ресурстар министрлігіне сот шешімдері бойынша міндеттемелерді орындауға 2008 жылға арналған республикалық бюджетте көзделген Қазақстан Республикасы Үкіметінің резервінен Лондон халықаралық төрелік сотының 2007 жылғы 21 қарашадағы шешімін (төрелік іс N 6773) орындау үшін 3415000 (үш миллион төрт жүз он бес мың) теңге бөлінсін.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 бөлінген қаражаттың мақсатты пайдаланылуын бақылауды жүзеге асырсын.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