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336d" w14:textId="b7c3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кепілдік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қарашадағы N 1133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маусымдағы № 4-5/575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кепілдік алу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Мақта қолхаттары бойынша міндеттемелердің орындалуына кепілдік беру қорларының кепілдік алу ережесі  1. Жалпы ережелер </w:t>
      </w:r>
    </w:p>
    <w:bookmarkEnd w:id="2"/>
    <w:bookmarkStart w:name="z5" w:id="3"/>
    <w:p>
      <w:pPr>
        <w:spacing w:after="0"/>
        <w:ind w:left="0"/>
        <w:jc w:val="both"/>
      </w:pPr>
      <w:r>
        <w:rPr>
          <w:rFonts w:ascii="Times New Roman"/>
          <w:b w:val="false"/>
          <w:i w:val="false"/>
          <w:color w:val="000000"/>
          <w:sz w:val="28"/>
        </w:rPr>
        <w:t>
       1. Осы Мақта қолхаттары бойынша міндеттемелердің орындалуына кепілдік беру қорларының кепілдік алу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мақта қолхаттары бойынша міндеттемелердің орындалуына кепілдік беру қорларының кепілдік алу тәртібін айқындайды. </w:t>
      </w:r>
    </w:p>
    <w:bookmarkEnd w:id="3"/>
    <w:bookmarkStart w:name="z6" w:id="4"/>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мақта қолхатын ұстаушы - мақта өңдеу ұйымына шитті мақтаны сақтауға және (немесе) бастапқы өңдеуге; мақта талшығын және мақта тұқымын сақтауға өткізген мақта иесі, мақта қолхатында индоссамент жасаған жағдайларда - индоссат; </w:t>
      </w:r>
      <w:r>
        <w:br/>
      </w:r>
      <w:r>
        <w:rPr>
          <w:rFonts w:ascii="Times New Roman"/>
          <w:b w:val="false"/>
          <w:i w:val="false"/>
          <w:color w:val="000000"/>
          <w:sz w:val="28"/>
        </w:rPr>
        <w:t xml:space="preserve">
      кепілдік берілген мақта көлемі - қайтару жөніндегі жауапкершілікке қор кепілдік беретін, әрбір қорға қатысушыға қор белгілейтін мақта көлемі; </w:t>
      </w:r>
      <w:r>
        <w:br/>
      </w:r>
      <w:r>
        <w:rPr>
          <w:rFonts w:ascii="Times New Roman"/>
          <w:b w:val="false"/>
          <w:i w:val="false"/>
          <w:color w:val="000000"/>
          <w:sz w:val="28"/>
        </w:rPr>
        <w:t>
      қорға қатысушы – қормен жасалған және қатысу шарты қолданылатын мақта қолхаттарын беру арқылы қойма қызметi бойынша қызметтер көрсету жөнiндегi қызметтi жүзеге асыру құқығына лицензиясы бар мақта өңдеу ұйымы;</w:t>
      </w:r>
      <w:r>
        <w:br/>
      </w:r>
      <w:r>
        <w:rPr>
          <w:rFonts w:ascii="Times New Roman"/>
          <w:b w:val="false"/>
          <w:i w:val="false"/>
          <w:color w:val="000000"/>
          <w:sz w:val="28"/>
        </w:rPr>
        <w:t xml:space="preserve">
      мақта қолхаттары бойынша міндеттемелердің орындалуына кепілдік беру қоры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(бұдан әрі - қор немесе қорлар); </w:t>
      </w:r>
      <w:r>
        <w:br/>
      </w:r>
      <w:r>
        <w:rPr>
          <w:rFonts w:ascii="Times New Roman"/>
          <w:b w:val="false"/>
          <w:i w:val="false"/>
          <w:color w:val="000000"/>
          <w:sz w:val="28"/>
        </w:rPr>
        <w:t>
      қатысу шарты - қор мен мақта өңдеу ұйымы арасында жасалатын шарт, соның негізінде соңғысы мақта қолхаттары бойынша міндеттемелердің орындалуына кепілдік беру жүйесіне қатысады.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7" w:id="5"/>
    <w:p>
      <w:pPr>
        <w:spacing w:after="0"/>
        <w:ind w:left="0"/>
        <w:jc w:val="left"/>
      </w:pPr>
      <w:r>
        <w:rPr>
          <w:rFonts w:ascii="Times New Roman"/>
          <w:b/>
          <w:i w:val="false"/>
          <w:color w:val="000000"/>
        </w:rPr>
        <w:t xml:space="preserve"> 
2. Қордың кепілдігін алу тәртібі </w:t>
      </w:r>
    </w:p>
    <w:bookmarkEnd w:id="5"/>
    <w:bookmarkStart w:name="z8" w:id="6"/>
    <w:p>
      <w:pPr>
        <w:spacing w:after="0"/>
        <w:ind w:left="0"/>
        <w:jc w:val="both"/>
      </w:pPr>
      <w:r>
        <w:rPr>
          <w:rFonts w:ascii="Times New Roman"/>
          <w:b w:val="false"/>
          <w:i w:val="false"/>
          <w:color w:val="000000"/>
          <w:sz w:val="28"/>
        </w:rPr>
        <w:t xml:space="preserve">
      3. Қордың кепілдігін алу үшін мақта қолхатын ұстаушы қорға кепілдік алуға еркін нысанда өтінішін береді және оған мынадай құжаттарын қоса береді: </w:t>
      </w:r>
      <w:r>
        <w:br/>
      </w:r>
      <w:r>
        <w:rPr>
          <w:rFonts w:ascii="Times New Roman"/>
          <w:b w:val="false"/>
          <w:i w:val="false"/>
          <w:color w:val="000000"/>
          <w:sz w:val="28"/>
        </w:rPr>
        <w:t xml:space="preserve">
      1) кепілдік және қоймалық куәліктері бөлінбеген мақта қолхаты; </w:t>
      </w:r>
      <w:r>
        <w:br/>
      </w:r>
      <w:r>
        <w:rPr>
          <w:rFonts w:ascii="Times New Roman"/>
          <w:b w:val="false"/>
          <w:i w:val="false"/>
          <w:color w:val="000000"/>
          <w:sz w:val="28"/>
        </w:rPr>
        <w:t>
      2) Қазақстан Республикасы Үкіметінің шешімдерімен </w:t>
      </w:r>
      <w:r>
        <w:rPr>
          <w:rFonts w:ascii="Times New Roman"/>
          <w:b w:val="false"/>
          <w:i w:val="false"/>
          <w:color w:val="000000"/>
          <w:sz w:val="28"/>
        </w:rPr>
        <w:t xml:space="preserve">бекітілген </w:t>
      </w:r>
      <w:r>
        <w:rPr>
          <w:rFonts w:ascii="Times New Roman"/>
          <w:b w:val="false"/>
          <w:i w:val="false"/>
          <w:color w:val="000000"/>
          <w:sz w:val="28"/>
        </w:rPr>
        <w:t xml:space="preserve">шитті мақтаны мақта талшығына бастапқы өңдеу және/немесе шитті мақтаны сақтауға жасалған шарттардың көшірмесі; </w:t>
      </w:r>
      <w:r>
        <w:br/>
      </w:r>
      <w:r>
        <w:rPr>
          <w:rFonts w:ascii="Times New Roman"/>
          <w:b w:val="false"/>
          <w:i w:val="false"/>
          <w:color w:val="000000"/>
          <w:sz w:val="28"/>
        </w:rPr>
        <w:t xml:space="preserve">
      3) қатысушының осы мақта қолхатын кепілдендірілген мақта көлеміне енгізу туралы қолдаухат бар ілеспе хаты. </w:t>
      </w:r>
      <w:r>
        <w:br/>
      </w:r>
      <w:r>
        <w:rPr>
          <w:rFonts w:ascii="Times New Roman"/>
          <w:b w:val="false"/>
          <w:i w:val="false"/>
          <w:color w:val="000000"/>
          <w:sz w:val="28"/>
        </w:rPr>
        <w:t>
      4) заңды тұлғалар заңды тұлғаны мемлекеттiк тiркеу (қайта тiркеу) туралы куәлiктің* немесе анықтаманың көшiрмесiн ұсынады;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xml:space="preserve">
      5) жеке тұлғалар: </w:t>
      </w:r>
      <w:r>
        <w:br/>
      </w:r>
      <w:r>
        <w:rPr>
          <w:rFonts w:ascii="Times New Roman"/>
          <w:b w:val="false"/>
          <w:i w:val="false"/>
          <w:color w:val="000000"/>
          <w:sz w:val="28"/>
        </w:rPr>
        <w:t xml:space="preserve">
      мақта қолхатын ұстаушының жеке басын куәландыратын құжаттың көшірмесін не жеке кәсіпкерді тіркеу туралы куәліктің көшірмесін (егер мақта қолхатын ұстаушы жеке кәсіпкер болып табылған жағдайда) ұсынады; </w:t>
      </w:r>
      <w:r>
        <w:br/>
      </w:r>
      <w:r>
        <w:rPr>
          <w:rFonts w:ascii="Times New Roman"/>
          <w:b w:val="false"/>
          <w:i w:val="false"/>
          <w:color w:val="000000"/>
          <w:sz w:val="28"/>
        </w:rPr>
        <w:t>
      6) егер қорға заңды немесе жеке тұлғаның мақта қолхатын ұстаушының бірінші басшысы хабарласпаса, қорға хабарласуға құқық сенімхаты.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6"/>
    <w:bookmarkStart w:name="z9" w:id="7"/>
    <w:p>
      <w:pPr>
        <w:spacing w:after="0"/>
        <w:ind w:left="0"/>
        <w:jc w:val="both"/>
      </w:pPr>
      <w:r>
        <w:rPr>
          <w:rFonts w:ascii="Times New Roman"/>
          <w:b w:val="false"/>
          <w:i w:val="false"/>
          <w:color w:val="000000"/>
          <w:sz w:val="28"/>
        </w:rPr>
        <w:t xml:space="preserve">
      4. Егер төменде санамаланған жағдайлардың біреуі орын алса, қор мақта қолхатын ұстаушыға кепілдік беруден бас тартады: </w:t>
      </w:r>
      <w:r>
        <w:br/>
      </w:r>
      <w:r>
        <w:rPr>
          <w:rFonts w:ascii="Times New Roman"/>
          <w:b w:val="false"/>
          <w:i w:val="false"/>
          <w:color w:val="000000"/>
          <w:sz w:val="28"/>
        </w:rPr>
        <w:t xml:space="preserve">
      1) мақта қолхатын ұстаушы хабарласқан қорға қатысушы болып табылмайтын мақта өңдеу ұйымы мақта қолхатын берсе; </w:t>
      </w:r>
      <w:r>
        <w:br/>
      </w:r>
      <w:r>
        <w:rPr>
          <w:rFonts w:ascii="Times New Roman"/>
          <w:b w:val="false"/>
          <w:i w:val="false"/>
          <w:color w:val="000000"/>
          <w:sz w:val="28"/>
        </w:rPr>
        <w:t xml:space="preserve">
      2) мақта қолхатын ұстаушы осы Ереженің 3-тармағында көрсетілген құжаттарды ұсынбаса; </w:t>
      </w:r>
      <w:r>
        <w:br/>
      </w:r>
      <w:r>
        <w:rPr>
          <w:rFonts w:ascii="Times New Roman"/>
          <w:b w:val="false"/>
          <w:i w:val="false"/>
          <w:color w:val="000000"/>
          <w:sz w:val="28"/>
        </w:rPr>
        <w:t>
      3) мақта қолхаты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w:t>
      </w:r>
      <w:r>
        <w:rPr>
          <w:rFonts w:ascii="Times New Roman"/>
          <w:b w:val="false"/>
          <w:i w:val="false"/>
          <w:color w:val="000000"/>
          <w:sz w:val="28"/>
        </w:rPr>
        <w:t xml:space="preserve">мақта қолхаттарына қойылатын талаптарға сәйкес келмесе. </w:t>
      </w:r>
    </w:p>
    <w:bookmarkEnd w:id="7"/>
    <w:bookmarkStart w:name="z10" w:id="8"/>
    <w:p>
      <w:pPr>
        <w:spacing w:after="0"/>
        <w:ind w:left="0"/>
        <w:jc w:val="both"/>
      </w:pPr>
      <w:r>
        <w:rPr>
          <w:rFonts w:ascii="Times New Roman"/>
          <w:b w:val="false"/>
          <w:i w:val="false"/>
          <w:color w:val="000000"/>
          <w:sz w:val="28"/>
        </w:rPr>
        <w:t xml:space="preserve">
      5. Қордың кепілдік алудан бас тартуы мақта қолхатын ұстаушының осы Ереженің 4-тармағында көзделген жағдайларды жойғаннан кейін кепілдік алу үшін қайта хабарласуына кедергі болып табылмайды. </w:t>
      </w:r>
    </w:p>
    <w:bookmarkEnd w:id="8"/>
    <w:bookmarkStart w:name="z11" w:id="9"/>
    <w:p>
      <w:pPr>
        <w:spacing w:after="0"/>
        <w:ind w:left="0"/>
        <w:jc w:val="both"/>
      </w:pPr>
      <w:r>
        <w:rPr>
          <w:rFonts w:ascii="Times New Roman"/>
          <w:b w:val="false"/>
          <w:i w:val="false"/>
          <w:color w:val="000000"/>
          <w:sz w:val="28"/>
        </w:rPr>
        <w:t xml:space="preserve">
      6. Қордың кепілдігін беру қор мен қорға қатысушы арасында жасалған қатысу шартына сәйкес қорға қатысушы үшін қор белгілеген кепілдік берілген мақта көлемінің шегінде мақта қолхатына уәкілетті тұлғаның қолымен және қордың мөртаңбасымен тиісті жазба жасау жолымен жүзеге асырылады. </w:t>
      </w:r>
    </w:p>
    <w:bookmarkEnd w:id="9"/>
    <w:bookmarkStart w:name="z12" w:id="10"/>
    <w:p>
      <w:pPr>
        <w:spacing w:after="0"/>
        <w:ind w:left="0"/>
        <w:jc w:val="both"/>
      </w:pPr>
      <w:r>
        <w:rPr>
          <w:rFonts w:ascii="Times New Roman"/>
          <w:b w:val="false"/>
          <w:i w:val="false"/>
          <w:color w:val="000000"/>
          <w:sz w:val="28"/>
        </w:rPr>
        <w:t xml:space="preserve">
      7. Қордың кепілдік беру мерзімі қорға мақта қолхатын ұстаушылардан өтініштер келіп түскен сәттен бастап үш жұмыс күнінен аспауға тиіс.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