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45b6" w14:textId="1954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 тұлғаның қонақ үйде тұруына және тамақтануына арналған шығыстар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27 сәуірдегі N 338 Қаулысы. Күші жойылды - ҚР Үкіметінің 2008 жылғы 31 желтоқсандағы N 1333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2001 жылғы 12 маусымдағы Кодексінің 
</w:t>
      </w:r>
      <w:r>
        <w:rPr>
          <w:rFonts w:ascii="Times New Roman"/>
          <w:b w:val="false"/>
          <w:i w:val="false"/>
          <w:color w:val="000000"/>
          <w:sz w:val="28"/>
        </w:rPr>
        <w:t xml:space="preserve"> 100-бабына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w:t>
      </w:r>
      <w:r>
        <w:br/>
      </w:r>
      <w:r>
        <w:rPr>
          <w:rFonts w:ascii="Times New Roman"/>
          <w:b w:val="false"/>
          <w:i w:val="false"/>
          <w:color w:val="000000"/>
          <w:sz w:val="28"/>
        </w:rPr>
        <w:t>
      1-қосымшаға сәйкес мамандар даярлау Қазақстан Республикасында жүзеге асырылмайтын, өндірістік қызметімен байланысты мамандық бойынша салық төлеушімен еңбек қатынастарында тұрмайтын білім алушы қызметкердің және (немесе) жеке тұлғаның қонақ үйде тұруына және тамақтануына, салық салынатын кірісті айқындау кезінде шегерімге жатқызылуы тиіс салық төлеуші шығыстарының нормалары;
</w:t>
      </w:r>
      <w:r>
        <w:br/>
      </w:r>
      <w:r>
        <w:rPr>
          <w:rFonts w:ascii="Times New Roman"/>
          <w:b w:val="false"/>
          <w:i w:val="false"/>
          <w:color w:val="000000"/>
          <w:sz w:val="28"/>
        </w:rPr>
        <w:t>
      2-қосымшаға сәйкес Қазақстан Республикасының шегінде өндірістік қызметпен байланысты мамандық бойынша салық төлеушімен еңбек қатынастарында тұрмайтын білім алушы қызметкердің және (немесе) жеке тұлғаның қонақ үйде тұруына және тамақтануына, салық салынатын кірісті айқындау кезінде шегерімге жатқызылуы тиіс салық төлеуші шығыстарының нормалары белгіленсін.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27 сәуірдегі
</w:t>
      </w:r>
      <w:r>
        <w:br/>
      </w:r>
      <w:r>
        <w:rPr>
          <w:rFonts w:ascii="Times New Roman"/>
          <w:b w:val="false"/>
          <w:i w:val="false"/>
          <w:color w:val="000000"/>
          <w:sz w:val="28"/>
        </w:rPr>
        <w:t>
                                                N 338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Мамандар даярлау Қазақстан Республикасында жүзеге асырылмайтын, өндірістік қызметімен байланысты мамандық бойынша салық төлеушімен еңбек қатынастарында тұрмайтын білім алушы қызметкердің және (немесе) жеке тұлғаның қонақ үйде тұруына және тамақтануына арналған, салық салынатын кірісті айқындау кезінде шегерімге жатқызылуы тиіс салық төлеуші шығыстарының нормалары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3"/>
        <w:gridCol w:w="2213"/>
        <w:gridCol w:w="2293"/>
      </w:tblGrid>
      <w:tr>
        <w:trPr>
          <w:trHeight w:val="450" w:hRule="atLeast"/>
        </w:trPr>
        <w:tc>
          <w:tcPr>
            <w:tcW w:w="71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Елдер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Күндік шығыстар
</w:t>
            </w:r>
            <w:r>
              <w:br/>
            </w:r>
            <w:r>
              <w:rPr>
                <w:rFonts w:ascii="Times New Roman"/>
                <w:b w:val="false"/>
                <w:i w:val="false"/>
                <w:color w:val="000000"/>
                <w:sz w:val="20"/>
              </w:rPr>
              <w:t>
(АҚШ долларымен)
</w:t>
            </w:r>
          </w:p>
        </w:tc>
      </w:tr>
      <w:tr>
        <w:trPr>
          <w:trHeight w:val="450"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тұру
</w:t>
            </w:r>
          </w:p>
        </w:tc>
      </w:tr>
      <w:tr>
        <w:trPr>
          <w:trHeight w:val="450" w:hRule="atLeast"/>
        </w:trPr>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Америка Құрама Штаттары,
</w:t>
            </w:r>
            <w:r>
              <w:br/>
            </w:r>
            <w:r>
              <w:rPr>
                <w:rFonts w:ascii="Times New Roman"/>
                <w:b w:val="false"/>
                <w:i w:val="false"/>
                <w:color w:val="000000"/>
                <w:sz w:val="20"/>
              </w:rPr>
              <w:t>
Канада, Жапония, Қытай Халық
</w:t>
            </w:r>
            <w:r>
              <w:br/>
            </w:r>
            <w:r>
              <w:rPr>
                <w:rFonts w:ascii="Times New Roman"/>
                <w:b w:val="false"/>
                <w:i w:val="false"/>
                <w:color w:val="000000"/>
                <w:sz w:val="20"/>
              </w:rPr>
              <w:t>
Республикасы, Батыс және Шығыс
</w:t>
            </w:r>
            <w:r>
              <w:br/>
            </w:r>
            <w:r>
              <w:rPr>
                <w:rFonts w:ascii="Times New Roman"/>
                <w:b w:val="false"/>
                <w:i w:val="false"/>
                <w:color w:val="000000"/>
                <w:sz w:val="20"/>
              </w:rPr>
              <w:t>
Еуропа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80-ге
</w:t>
            </w:r>
            <w:r>
              <w:br/>
            </w:r>
            <w:r>
              <w:rPr>
                <w:rFonts w:ascii="Times New Roman"/>
                <w:b w:val="false"/>
                <w:i w:val="false"/>
                <w:color w:val="000000"/>
                <w:sz w:val="20"/>
              </w:rPr>
              <w:t>
дейін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30-ға
</w:t>
            </w:r>
            <w:r>
              <w:br/>
            </w:r>
            <w:r>
              <w:rPr>
                <w:rFonts w:ascii="Times New Roman"/>
                <w:b w:val="false"/>
                <w:i w:val="false"/>
                <w:color w:val="000000"/>
                <w:sz w:val="20"/>
              </w:rPr>
              <w:t>
дейін
</w:t>
            </w:r>
          </w:p>
        </w:tc>
      </w:tr>
      <w:tr>
        <w:trPr>
          <w:trHeight w:val="450" w:hRule="atLeast"/>
        </w:trPr>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Сингапур, Оңтүстік Корея,
</w:t>
            </w:r>
            <w:r>
              <w:br/>
            </w:r>
            <w:r>
              <w:rPr>
                <w:rFonts w:ascii="Times New Roman"/>
                <w:b w:val="false"/>
                <w:i w:val="false"/>
                <w:color w:val="000000"/>
                <w:sz w:val="20"/>
              </w:rPr>
              <w:t>
Малайзия, Израиль, Сауд Аравиясы,
</w:t>
            </w:r>
            <w:r>
              <w:br/>
            </w:r>
            <w:r>
              <w:rPr>
                <w:rFonts w:ascii="Times New Roman"/>
                <w:b w:val="false"/>
                <w:i w:val="false"/>
                <w:color w:val="000000"/>
                <w:sz w:val="20"/>
              </w:rPr>
              <w:t>
Кувейт, Катар, Бахрейн, Бруней,
</w:t>
            </w:r>
            <w:r>
              <w:br/>
            </w:r>
            <w:r>
              <w:rPr>
                <w:rFonts w:ascii="Times New Roman"/>
                <w:b w:val="false"/>
                <w:i w:val="false"/>
                <w:color w:val="000000"/>
                <w:sz w:val="20"/>
              </w:rPr>
              <w:t>
Оман, Кипр, Австралия, Египет,
</w:t>
            </w:r>
            <w:r>
              <w:br/>
            </w:r>
            <w:r>
              <w:rPr>
                <w:rFonts w:ascii="Times New Roman"/>
                <w:b w:val="false"/>
                <w:i w:val="false"/>
                <w:color w:val="000000"/>
                <w:sz w:val="20"/>
              </w:rPr>
              <w:t>
Тайланд, Біріккен Араб
</w:t>
            </w:r>
            <w:r>
              <w:br/>
            </w:r>
            <w:r>
              <w:rPr>
                <w:rFonts w:ascii="Times New Roman"/>
                <w:b w:val="false"/>
                <w:i w:val="false"/>
                <w:color w:val="000000"/>
                <w:sz w:val="20"/>
              </w:rPr>
              <w:t>
Әмірліктері, Оңтүстік Африка
</w:t>
            </w:r>
            <w:r>
              <w:br/>
            </w:r>
            <w:r>
              <w:rPr>
                <w:rFonts w:ascii="Times New Roman"/>
                <w:b w:val="false"/>
                <w:i w:val="false"/>
                <w:color w:val="000000"/>
                <w:sz w:val="20"/>
              </w:rPr>
              <w:t>
Республикасы, Филиппин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70-ке
</w:t>
            </w:r>
            <w:r>
              <w:br/>
            </w:r>
            <w:r>
              <w:rPr>
                <w:rFonts w:ascii="Times New Roman"/>
                <w:b w:val="false"/>
                <w:i w:val="false"/>
                <w:color w:val="000000"/>
                <w:sz w:val="20"/>
              </w:rPr>
              <w:t>
дейін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25-ке
</w:t>
            </w:r>
            <w:r>
              <w:br/>
            </w:r>
            <w:r>
              <w:rPr>
                <w:rFonts w:ascii="Times New Roman"/>
                <w:b w:val="false"/>
                <w:i w:val="false"/>
                <w:color w:val="000000"/>
                <w:sz w:val="20"/>
              </w:rPr>
              <w:t>
дейін
</w:t>
            </w:r>
          </w:p>
        </w:tc>
      </w:tr>
      <w:tr>
        <w:trPr>
          <w:trHeight w:val="450" w:hRule="atLeast"/>
        </w:trPr>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Тәуелсіз Мемлекеттер Достастығы
</w:t>
            </w:r>
            <w:r>
              <w:br/>
            </w:r>
            <w:r>
              <w:rPr>
                <w:rFonts w:ascii="Times New Roman"/>
                <w:b w:val="false"/>
                <w:i w:val="false"/>
                <w:color w:val="000000"/>
                <w:sz w:val="20"/>
              </w:rPr>
              <w:t>
елдері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50-ге
</w:t>
            </w:r>
            <w:r>
              <w:br/>
            </w:r>
            <w:r>
              <w:rPr>
                <w:rFonts w:ascii="Times New Roman"/>
                <w:b w:val="false"/>
                <w:i w:val="false"/>
                <w:color w:val="000000"/>
                <w:sz w:val="20"/>
              </w:rPr>
              <w:t>
дейін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10-ға
</w:t>
            </w:r>
            <w:r>
              <w:br/>
            </w:r>
            <w:r>
              <w:rPr>
                <w:rFonts w:ascii="Times New Roman"/>
                <w:b w:val="false"/>
                <w:i w:val="false"/>
                <w:color w:val="000000"/>
                <w:sz w:val="20"/>
              </w:rPr>
              <w:t>
дейін
</w:t>
            </w:r>
          </w:p>
        </w:tc>
      </w:tr>
      <w:tr>
        <w:trPr>
          <w:trHeight w:val="450" w:hRule="atLeast"/>
        </w:trPr>
        <w:tc>
          <w:tcPr>
            <w:tcW w:w="7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Басқа да елдер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60-қа
</w:t>
            </w:r>
            <w:r>
              <w:br/>
            </w:r>
            <w:r>
              <w:rPr>
                <w:rFonts w:ascii="Times New Roman"/>
                <w:b w:val="false"/>
                <w:i w:val="false"/>
                <w:color w:val="000000"/>
                <w:sz w:val="20"/>
              </w:rPr>
              <w:t>
дейін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15-ке
</w:t>
            </w:r>
            <w:r>
              <w:br/>
            </w:r>
            <w:r>
              <w:rPr>
                <w:rFonts w:ascii="Times New Roman"/>
                <w:b w:val="false"/>
                <w:i w:val="false"/>
                <w:color w:val="000000"/>
                <w:sz w:val="20"/>
              </w:rPr>
              <w:t>
дейін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27 сәуірдегі
</w:t>
      </w:r>
      <w:r>
        <w:br/>
      </w:r>
      <w:r>
        <w:rPr>
          <w:rFonts w:ascii="Times New Roman"/>
          <w:b w:val="false"/>
          <w:i w:val="false"/>
          <w:color w:val="000000"/>
          <w:sz w:val="28"/>
        </w:rPr>
        <w:t>
                                                N 338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шегінде өндірістік қызметпен байланысты мамандық бойынша салық төлеушімен еңбек қатынастарында тұрмайтын білім алушы қызметкердің және (немесе) жеке тұлғаның қонақ үйде тұруына және тамақтануына арналған, салық салынатын кірісті айқындау кезінде шегерімге жатқызылуы тиіс салық төлеуші шығыстарының нормалары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133"/>
        <w:gridCol w:w="3273"/>
      </w:tblGrid>
      <w:tr>
        <w:trPr>
          <w:trHeight w:val="450" w:hRule="atLeast"/>
        </w:trPr>
        <w:tc>
          <w:tcPr>
            <w:tcW w:w="5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Күндік шығыстар (айлық есептік
</w:t>
            </w:r>
            <w:r>
              <w:br/>
            </w:r>
            <w:r>
              <w:rPr>
                <w:rFonts w:ascii="Times New Roman"/>
                <w:b w:val="false"/>
                <w:i w:val="false"/>
                <w:color w:val="000000"/>
                <w:sz w:val="20"/>
              </w:rPr>
              <w:t>
көрсеткіш)
</w:t>
            </w:r>
          </w:p>
        </w:tc>
      </w:tr>
      <w:tr>
        <w:trPr>
          <w:trHeight w:val="45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тамақтану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тұру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Облыс, аудан орталық-
</w:t>
            </w:r>
            <w:r>
              <w:br/>
            </w:r>
            <w:r>
              <w:rPr>
                <w:rFonts w:ascii="Times New Roman"/>
                <w:b w:val="false"/>
                <w:i w:val="false"/>
                <w:color w:val="000000"/>
                <w:sz w:val="20"/>
              </w:rPr>
              <w:t>
тары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шығындар
</w:t>
            </w:r>
            <w:r>
              <w:br/>
            </w:r>
            <w:r>
              <w:rPr>
                <w:rFonts w:ascii="Times New Roman"/>
                <w:b w:val="false"/>
                <w:i w:val="false"/>
                <w:color w:val="000000"/>
                <w:sz w:val="20"/>
              </w:rPr>
              <w:t>
бойынша (бірақ
</w:t>
            </w:r>
            <w:r>
              <w:br/>
            </w:r>
            <w:r>
              <w:rPr>
                <w:rFonts w:ascii="Times New Roman"/>
                <w:b w:val="false"/>
                <w:i w:val="false"/>
                <w:color w:val="000000"/>
                <w:sz w:val="20"/>
              </w:rPr>
              <w:t>
6 АЕК-тен
</w:t>
            </w:r>
            <w:r>
              <w:br/>
            </w:r>
            <w:r>
              <w:rPr>
                <w:rFonts w:ascii="Times New Roman"/>
                <w:b w:val="false"/>
                <w:i w:val="false"/>
                <w:color w:val="000000"/>
                <w:sz w:val="20"/>
              </w:rPr>
              <w:t>
артық емес)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шығындар
</w:t>
            </w:r>
            <w:r>
              <w:br/>
            </w:r>
            <w:r>
              <w:rPr>
                <w:rFonts w:ascii="Times New Roman"/>
                <w:b w:val="false"/>
                <w:i w:val="false"/>
                <w:color w:val="000000"/>
                <w:sz w:val="20"/>
              </w:rPr>
              <w:t>
бойынша (бірақ
</w:t>
            </w:r>
            <w:r>
              <w:br/>
            </w:r>
            <w:r>
              <w:rPr>
                <w:rFonts w:ascii="Times New Roman"/>
                <w:b w:val="false"/>
                <w:i w:val="false"/>
                <w:color w:val="000000"/>
                <w:sz w:val="20"/>
              </w:rPr>
              <w:t>
4 АЕК-тен артық
</w:t>
            </w:r>
            <w:r>
              <w:br/>
            </w:r>
            <w:r>
              <w:rPr>
                <w:rFonts w:ascii="Times New Roman"/>
                <w:b w:val="false"/>
                <w:i w:val="false"/>
                <w:color w:val="000000"/>
                <w:sz w:val="20"/>
              </w:rPr>
              <w:t>
емес)
</w:t>
            </w:r>
          </w:p>
        </w:tc>
      </w:tr>
      <w:tr>
        <w:trPr>
          <w:trHeight w:val="450" w:hRule="atLeast"/>
        </w:trPr>
        <w:tc>
          <w:tcPr>
            <w:tcW w:w="5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Астана, Алматы, Атырау
</w:t>
            </w:r>
            <w:r>
              <w:br/>
            </w:r>
            <w:r>
              <w:rPr>
                <w:rFonts w:ascii="Times New Roman"/>
                <w:b w:val="false"/>
                <w:i w:val="false"/>
                <w:color w:val="000000"/>
                <w:sz w:val="20"/>
              </w:rPr>
              <w:t>
қалалары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шығындар
</w:t>
            </w:r>
            <w:r>
              <w:br/>
            </w:r>
            <w:r>
              <w:rPr>
                <w:rFonts w:ascii="Times New Roman"/>
                <w:b w:val="false"/>
                <w:i w:val="false"/>
                <w:color w:val="000000"/>
                <w:sz w:val="20"/>
              </w:rPr>
              <w:t>
бойынша (бірақ
</w:t>
            </w:r>
            <w:r>
              <w:br/>
            </w:r>
            <w:r>
              <w:rPr>
                <w:rFonts w:ascii="Times New Roman"/>
                <w:b w:val="false"/>
                <w:i w:val="false"/>
                <w:color w:val="000000"/>
                <w:sz w:val="20"/>
              </w:rPr>
              <w:t>
6 АЕК-тен
</w:t>
            </w:r>
            <w:r>
              <w:br/>
            </w:r>
            <w:r>
              <w:rPr>
                <w:rFonts w:ascii="Times New Roman"/>
                <w:b w:val="false"/>
                <w:i w:val="false"/>
                <w:color w:val="000000"/>
                <w:sz w:val="20"/>
              </w:rPr>
              <w:t>
артық емес)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шығындар
</w:t>
            </w:r>
            <w:r>
              <w:br/>
            </w:r>
            <w:r>
              <w:rPr>
                <w:rFonts w:ascii="Times New Roman"/>
                <w:b w:val="false"/>
                <w:i w:val="false"/>
                <w:color w:val="000000"/>
                <w:sz w:val="20"/>
              </w:rPr>
              <w:t>
бойынша (бірақ
</w:t>
            </w:r>
            <w:r>
              <w:br/>
            </w:r>
            <w:r>
              <w:rPr>
                <w:rFonts w:ascii="Times New Roman"/>
                <w:b w:val="false"/>
                <w:i w:val="false"/>
                <w:color w:val="000000"/>
                <w:sz w:val="20"/>
              </w:rPr>
              <w:t>
5 АЕК-тен артық
</w:t>
            </w:r>
            <w:r>
              <w:br/>
            </w:r>
            <w:r>
              <w:rPr>
                <w:rFonts w:ascii="Times New Roman"/>
                <w:b w:val="false"/>
                <w:i w:val="false"/>
                <w:color w:val="000000"/>
                <w:sz w:val="20"/>
              </w:rPr>
              <w:t>
емес)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