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e2c9" w14:textId="ca5e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5 қыркүйектегі N 8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Мәдениет және ақпарат министрлігіне Қазақстан Республикасының имидждік кампаниясын "TURNER "Time Warner Company" компаниясының қамтамасыз етуі жөніндегі қызметкерге ақы төлеу үшін 2006 жылға арналған республикалық бюджетте шұғыл шығындарға көзделген Қазақстан Республикасы Үкіметінің резервінен 224000000 (екі жүз жиырма төрт миллион) теңге бөлінсін.
</w:t>
      </w:r>
      <w:r>
        <w:br/>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