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1a96" w14:textId="dac1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 Су ресурстары комитетiнiң "Батыссушар" шаруашылық жүргiзу құқығындағы Батыс Қазақстан су шаруашылығы жөнiндегi республикалық мемлекеттiк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2006 жылғы 27 шілдедегі N 713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Ауыл шаруашылығы министрлiгi Су ресурстары комитетiнiң "Батыссушар" шаруашылық жүргiзу құқығындағы Батыс Қазақстан су шаруашылығы жөнiндегi республикалық мемлекеттiк кәсiпорны оған "Орда су құбырлары басқармасы" мемлекеттiк кәсiпорнын қосу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министрлiгi Су ресурстары комитетiнiң "Батыссушар" шаруашылық жүргiзу құқығындағы Батыс Қазақстан су шаруашылығы жөнiндегi республикалық мемлекеттiк кәсiпорнына заңнамада белгiленген тәртiппен "Бөкейорда су құбыры" еншiлес мемлекеттiк кәсiпорнын құруға рұқсат берiлсiн.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Ауыл шаруашылығы министрлiгi заңнамада белгiленген тәртiппен осы қаулыдан туындайтын қажеттi шараларды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