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eeef" w14:textId="05de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30 мамырдағы N 476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жылға арналған республикалық бюджет туралы" Қазақстан Республикасының 2005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және жергiлiктi атқарушы органдардың резервтерiн пайдалану ережесiн бекiту туралы" Қазақстан Республикасы Yкiметiнiң 2004 жылғы 27 желтоқсандағы N 1405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Ақпараттандыру және байланыс агенттiгiне "Каzsat-2" байланыс және хабар тарату ұлттық геостационарлық спутнигiн жасау және ұшыру жөнiндегi жұмыстарды жүргiзу үшiн "Ғарыштық байланыс және радиоэлектрондық құралдардың электромагниттiк үйлесiмділігi республикалық орталығы" акционерлiк қоғамының жарғылық капиталын ұлғайтуға 2006 жылға арналған республикалық бюджетте шұғыл шығындарға көзделген Қазақстан Республикасы Үкiметiнiң резервiнен 500000000 (бес жүз миллион) теңге бөлiнсiн.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 бөлiнетiн қаражаттың мақсатты пайдаланылуын бақылауды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