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8be5" w14:textId="fa28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Жүзетiн бұрғылау қондырғыларының конструкциясы мен жабдығы жөнiндегi кодты қолданысқа енгiзу туралы</w:t>
      </w:r>
    </w:p>
    <w:p>
      <w:pPr>
        <w:spacing w:after="0"/>
        <w:ind w:left="0"/>
        <w:jc w:val="both"/>
      </w:pPr>
      <w:r>
        <w:rPr>
          <w:rFonts w:ascii="Times New Roman"/>
          <w:b w:val="false"/>
          <w:i w:val="false"/>
          <w:color w:val="000000"/>
          <w:sz w:val="28"/>
        </w:rPr>
        <w:t>Қазақстан Республикасы Үкіметінің 2006 жылғы 17 мамырдағы N 417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Халықаралық теңiз ұйымының Ассамблеясы өзiнiң он бiрiншi сессиясында 1979 жылғы 15 қарашадағы А.414(ХI) қарарымен қабылдаған Жүзетiн бұрғылау қондырғыларының конструкциясы мен жабдығы жөнiндегi код Қазақстан Республикасының аумағында қолданысқа енгiзiлсiн. </w:t>
      </w:r>
      <w:r>
        <w:br/>
      </w:r>
      <w:r>
        <w:rPr>
          <w:rFonts w:ascii="Times New Roman"/>
          <w:b w:val="false"/>
          <w:i w:val="false"/>
          <w:color w:val="000000"/>
          <w:sz w:val="28"/>
        </w:rPr>
        <w:t xml:space="preserve">
      2. Қазақстан Республикасы Сыртқы iстер министрлiгi белгiленген тәртiппен Халықаралық теңiз ұйымының Бас хатшысын Қазақстан Республикасының Үкiметi Қазақстан Республикасының аумағында Жүзетiн бұрғылау қондырғыларының конструкциясы мен жабдығы жөнiндегi кодты қолданысқа енгiзгенi туралы хабардар етсiн. </w:t>
      </w:r>
      <w:r>
        <w:br/>
      </w:r>
      <w:r>
        <w:rPr>
          <w:rFonts w:ascii="Times New Roman"/>
          <w:b w:val="false"/>
          <w:i w:val="false"/>
          <w:color w:val="000000"/>
          <w:sz w:val="28"/>
        </w:rPr>
        <w:t xml:space="preserve">
      3. Осы қаулы қол қойылған күнінен бастап қолданысқа енгiзiледі.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xml:space="preserve">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