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0dc1" w14:textId="1560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both"/>
      </w:pPr>
      <w:r>
        <w:rPr>
          <w:rFonts w:ascii="Times New Roman"/>
          <w:b w:val="false"/>
          <w:i w:val="false"/>
          <w:color w:val="000000"/>
          <w:sz w:val="28"/>
        </w:rPr>
        <w:t>Қазақстан Республикасы Үкiметiнiң 2006 жылғы 3 ақпандағы N 65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министрлiгінiң "Селденқорғау құрылыс" республикалық мемлекеттік қазыналық кәсiпорны "Астана қаласын Есiл өзенiнiң тасқын суы басуынан қорғау" объектiсiн салуды жүзеге асыру бойынша сатып алудың маңызды стратегиялық мәнi бар тауарларды, жұмыстарды берушi және қызметтердi көрсетушi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министрлiгi заңнамада белгіленген тәртiппен: </w:t>
      </w:r>
      <w:r>
        <w:br/>
      </w:r>
      <w:r>
        <w:rPr>
          <w:rFonts w:ascii="Times New Roman"/>
          <w:b w:val="false"/>
          <w:i w:val="false"/>
          <w:color w:val="000000"/>
          <w:sz w:val="28"/>
        </w:rPr>
        <w:t xml:space="preserve">
      осы қаулының 1-тармағында көрсетiлген заңды тұлғамен 2006 жылға арналған республикалық бюджетте 003 "Төтенше жағдайлардан қорғау объектiлерiн салу мен қайта жаңарту" бюджеттiк бағдарламасы бойынша көзделген қаражат шегiнде 819900000 (сегiз жүз он тоғыз миллион тоғыз жүз мың) теңге сомасында тауарларды, жұмыстарды және қызметтердi мемлекеттiк сатып алу туралы шарт жасасуды; </w:t>
      </w:r>
      <w:r>
        <w:br/>
      </w:r>
      <w:r>
        <w:rPr>
          <w:rFonts w:ascii="Times New Roman"/>
          <w:b w:val="false"/>
          <w:i w:val="false"/>
          <w:color w:val="000000"/>
          <w:sz w:val="28"/>
        </w:rPr>
        <w:t xml:space="preserve">
      осы қаулыға сәйкес тауарларды, жұмыстарды және қызметтердi мемлекеттiк сатып алу үшiн пайдаланылатын қаражатты оңтайлы және тиiмдi жұмсау қағидатын сақтауды, сондай-ақ "Мемлекеттiк сатып алу туралы" Қазақстан Республикасының 2002 жылғы 16 мамырдағы Заңының 21-бабының 3 және 4-тармақтарын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