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d5a57" w14:textId="91d5a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2006 жылы байланысты гранттарды тартуға басымдығы бар өтiнiмдердiң тiзбесiн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10 қарашадағы N 1116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2006 жылы байланысты гранттарды тартуға басымдығы бар өтiнiмдердiң тiзбесi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 және жариялануға тиiс.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Yкiметiнiң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2005 жылғы 10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N 1116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бекiтiлген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</w:t>
      </w:r>
      <w:r>
        <w:rPr>
          <w:rFonts w:ascii="Times New Roman"/>
          <w:b/>
          <w:i w:val="false"/>
          <w:color w:val="000000"/>
          <w:sz w:val="28"/>
        </w:rPr>
        <w:t xml:space="preserve">2006 жылы байланысты гранттарды тартуға басымдығы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өтiнiмдердiң тiзбесi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(мың АҚШ доллары)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933"/>
        <w:gridCol w:w="1573"/>
        <w:gridCol w:w="1473"/>
        <w:gridCol w:w="1333"/>
        <w:gridCol w:w="1353"/>
        <w:gridCol w:w="1313"/>
        <w:gridCol w:w="1653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Жобаның атауы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Донор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Атқару-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 агент-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тiк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құны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бiрлесiп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өзенiнiң арна-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теңiзiнiң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бөлiгiн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сақтау. 2-фаза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Банкi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трлiгi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кәрiздеу.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2-фаза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Азия Даму Банкi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трлiгi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тiгi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трлігі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24500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15500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