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f0d6" w14:textId="f25f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 гранттарды тартуға арналған өтiнімдер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28 сәуірдегі N 396 Қаулысы. Күші жойылды - ҚР Үкіметінің 2009 жылғы 7 мамырдағы N 665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2009.05.07.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сәуiрдегi 
</w:t>
      </w:r>
      <w:r>
        <w:rPr>
          <w:rFonts w:ascii="Times New Roman"/>
          <w:b w:val="false"/>
          <w:i w:val="false"/>
          <w:color w:val="000000"/>
          <w:sz w:val="28"/>
        </w:rPr>
        <w:t xml:space="preserve"> Бюджет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Байланысты гранттарды тартуға арналған өтiнiмдер беру ережесi бекiтiлсiн.
</w:t>
      </w:r>
      <w:r>
        <w:br/>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28 сәуiрдегi  
</w:t>
      </w:r>
      <w:r>
        <w:br/>
      </w:r>
      <w:r>
        <w:rPr>
          <w:rFonts w:ascii="Times New Roman"/>
          <w:b w:val="false"/>
          <w:i w:val="false"/>
          <w:color w:val="000000"/>
          <w:sz w:val="28"/>
        </w:rPr>
        <w:t>
N 396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гранттарды тартуға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өтiнiмдер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Байланысты гранттарды тартуға арналған өтінімдер беру ережесi (бұдан әрi - Ереже) атқарушы агенттiктердiң экономикалық жоспарлау жөнiндегi 
</w:t>
      </w:r>
      <w:r>
        <w:rPr>
          <w:rFonts w:ascii="Times New Roman"/>
          <w:b w:val="false"/>
          <w:i w:val="false"/>
          <w:color w:val="000000"/>
          <w:sz w:val="28"/>
        </w:rPr>
        <w:t xml:space="preserve"> орталық уәкілеттi органға </w:t>
      </w:r>
      <w:r>
        <w:rPr>
          <w:rFonts w:ascii="Times New Roman"/>
          <w:b w:val="false"/>
          <w:i w:val="false"/>
          <w:color w:val="000000"/>
          <w:sz w:val="28"/>
        </w:rPr>
        <w:t>
 (бұдан әрi - уәкілетті орган) байланысты гранттарды алуға өтiнiмдер (бұдан әрi - өтiнiмдер) беру тәртiбiн айқындайды.
</w:t>
      </w:r>
      <w:r>
        <w:br/>
      </w:r>
      <w:r>
        <w:rPr>
          <w:rFonts w:ascii="Times New Roman"/>
          <w:b w:val="false"/>
          <w:i w:val="false"/>
          <w:color w:val="000000"/>
          <w:sz w:val="28"/>
        </w:rPr>
        <w:t>
      2. Ереже атқарушы агенттiктер өтiнiмдер берген кезде оларға қойылатын талаптарды бiрiздендiру мақсатында, сондай-ақ мемлекеттiк бюджеттен бiрлесiп қаржыландыруды немесе Қазақстан Республикасы Үкiметiнiң грант берген донордан одан әрi қарыз алуын көздейтiн өтеусiз қаржылық және техникалық көмек жобаларын (бұдан әрi - жобалар) iске асыру үшiн өтiнiмдердi iрiктеу мен бағалау тиiмділiгін арттыру үшін әзiрлендi.
</w:t>
      </w:r>
      <w:r>
        <w:br/>
      </w:r>
      <w:r>
        <w:rPr>
          <w:rFonts w:ascii="Times New Roman"/>
          <w:b w:val="false"/>
          <w:i w:val="false"/>
          <w:color w:val="000000"/>
          <w:sz w:val="28"/>
        </w:rPr>
        <w:t>
      3. Осы Ережеде мынадай ұғымдар қолданылады:
</w:t>
      </w:r>
      <w:r>
        <w:br/>
      </w:r>
      <w:r>
        <w:rPr>
          <w:rFonts w:ascii="Times New Roman"/>
          <w:b w:val="false"/>
          <w:i w:val="false"/>
          <w:color w:val="000000"/>
          <w:sz w:val="28"/>
        </w:rPr>
        <w:t>
      1) донордың елдiк бағдарламасы - Қазақстан Республикасы мен донор арасындағы ынтымақтастықтың орта мерзiмдi кезеңдегi перспективалары көрсетiлетiн және донор қарыздары есебiнен қаржыландыру жоспарланып отырған инвестициялық жобалардың тiзбесiн, сондай-ақ iске асырылуы донор гранты есебiнен жүзеге асырылатын өтеусiз техникалық көмек жобаларының тiзбесiн қамтитын индикативтiк сипаты бар донор құжаты;
</w:t>
      </w:r>
      <w:r>
        <w:br/>
      </w:r>
      <w:r>
        <w:rPr>
          <w:rFonts w:ascii="Times New Roman"/>
          <w:b w:val="false"/>
          <w:i w:val="false"/>
          <w:color w:val="000000"/>
          <w:sz w:val="28"/>
        </w:rPr>
        <w:t>
      2) атқарушы агенттiк - байланысты грантты тартуға арналған өтiнiмдердi дайындауды және ұсынуды жүзеге асыратын орталық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Өтiнiмдердi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Атқарушы агенттік уәкілеттi органның қарауына жергiлiктi өкiлдi және атқарушы органдардың өтiнiмдерiн ескере отырып жасалған өтiнiмдi мынадай құжаттармен қоса бередi:
</w:t>
      </w:r>
      <w:r>
        <w:br/>
      </w:r>
      <w:r>
        <w:rPr>
          <w:rFonts w:ascii="Times New Roman"/>
          <w:b w:val="false"/>
          <w:i w:val="false"/>
          <w:color w:val="000000"/>
          <w:sz w:val="28"/>
        </w:rPr>
        <w:t>
      1) жобаның ақпараттық парағы;
</w:t>
      </w:r>
      <w:r>
        <w:br/>
      </w:r>
      <w:r>
        <w:rPr>
          <w:rFonts w:ascii="Times New Roman"/>
          <w:b w:val="false"/>
          <w:i w:val="false"/>
          <w:color w:val="000000"/>
          <w:sz w:val="28"/>
        </w:rPr>
        <w:t>
      2) жобаның қисынды негiздемесi;
</w:t>
      </w:r>
      <w:r>
        <w:br/>
      </w:r>
      <w:r>
        <w:rPr>
          <w:rFonts w:ascii="Times New Roman"/>
          <w:b w:val="false"/>
          <w:i w:val="false"/>
          <w:color w:val="000000"/>
          <w:sz w:val="28"/>
        </w:rPr>
        <w:t>
      3) салалық қорытынды.
</w:t>
      </w:r>
      <w:r>
        <w:br/>
      </w:r>
      <w:r>
        <w:rPr>
          <w:rFonts w:ascii="Times New Roman"/>
          <w:b w:val="false"/>
          <w:i w:val="false"/>
          <w:color w:val="000000"/>
          <w:sz w:val="28"/>
        </w:rPr>
        <w:t>
      5. Жобаның ақпараттық парағы байланысты грантты негiзгi алушыны, болжамды донорды және жобаның негізгi қаржылық өлшемдерiн қамтитын жоба бойынша жалпы ақпараттан тұрады. Оған құрамдас бөлiктерге, жоспарланған iс-шараларға және жобаны iске асырудың әр жылына арналған байланысты грант валютасындағы және теңгедегi қаржыландыру көздерiне (грант қаражаты және оған бiрлесiп қаржыландырулар) бөле отырып, жобаны қаржыландырудың еркiн нысандағы жиынтық кестесi беріледi.
</w:t>
      </w:r>
      <w:r>
        <w:br/>
      </w:r>
      <w:r>
        <w:rPr>
          <w:rFonts w:ascii="Times New Roman"/>
          <w:b w:val="false"/>
          <w:i w:val="false"/>
          <w:color w:val="000000"/>
          <w:sz w:val="28"/>
        </w:rPr>
        <w:t>
      6. Жобаның қисынды негiздемесi жобаның мақсатына қол жеткiзу үшiн барлық баламалы шешiмдердiң нұсқаларын қарау нәтижесi болып табылады және осы Ережеге қосымшаға сәйкес әдiстеме бойынша жасалады.
</w:t>
      </w:r>
      <w:r>
        <w:br/>
      </w:r>
      <w:r>
        <w:rPr>
          <w:rFonts w:ascii="Times New Roman"/>
          <w:b w:val="false"/>
          <w:i w:val="false"/>
          <w:color w:val="000000"/>
          <w:sz w:val="28"/>
        </w:rPr>
        <w:t>
      7. Салалық қорытындыда тиiсті бағдарламаның бөлiмдерi мен тармақтары көрсетіле отырып, жобаның мақсаты мен мiндеттерiнiң тиiстi мемлекеттiк немесе салалық (секторалдық) бағдарламада көрсетілген саланың даму басымдықтарына сәйкестігi айқындалады.
</w:t>
      </w:r>
      <w:r>
        <w:br/>
      </w:r>
      <w:r>
        <w:rPr>
          <w:rFonts w:ascii="Times New Roman"/>
          <w:b w:val="false"/>
          <w:i w:val="false"/>
          <w:color w:val="000000"/>
          <w:sz w:val="28"/>
        </w:rPr>
        <w:t>
      8. Өтiнiмдер мынадай талаптарға сай болуы тиiс:
</w:t>
      </w:r>
      <w:r>
        <w:br/>
      </w:r>
      <w:r>
        <w:rPr>
          <w:rFonts w:ascii="Times New Roman"/>
          <w:b w:val="false"/>
          <w:i w:val="false"/>
          <w:color w:val="000000"/>
          <w:sz w:val="28"/>
        </w:rPr>
        <w:t>
      1) Қазақстан Республикасының әлеуметтiк-экономикалық дамуының 
</w:t>
      </w:r>
      <w:r>
        <w:rPr>
          <w:rFonts w:ascii="Times New Roman"/>
          <w:b w:val="false"/>
          <w:i w:val="false"/>
          <w:color w:val="000000"/>
          <w:sz w:val="28"/>
        </w:rPr>
        <w:t xml:space="preserve"> орта мерзiмдi жоспарында </w:t>
      </w:r>
      <w:r>
        <w:rPr>
          <w:rFonts w:ascii="Times New Roman"/>
          <w:b w:val="false"/>
          <w:i w:val="false"/>
          <w:color w:val="000000"/>
          <w:sz w:val="28"/>
        </w:rPr>
        <w:t>
 көрсетiлген Қазақстан Республикасының әлеуметтiк-экономикалық даму басымдықтарына, сондай-ақ қолданыстағы мемлекеттiк немесе салалық (секторалдық) бағдарламаларға сәйкестiгi;
</w:t>
      </w:r>
      <w:r>
        <w:br/>
      </w:r>
      <w:r>
        <w:rPr>
          <w:rFonts w:ascii="Times New Roman"/>
          <w:b w:val="false"/>
          <w:i w:val="false"/>
          <w:color w:val="000000"/>
          <w:sz w:val="28"/>
        </w:rPr>
        <w:t>
      2) донорлардың Қазақстан Республикасына арналған елдiк бағдарламаларын (болған кезде) қоса алғанда, жобаның донордың уәкілеттi органмен келiсiлген бағдарламалық құжаттарының құрамында болуы.
</w:t>
      </w:r>
      <w:r>
        <w:br/>
      </w:r>
      <w:r>
        <w:rPr>
          <w:rFonts w:ascii="Times New Roman"/>
          <w:b w:val="false"/>
          <w:i w:val="false"/>
          <w:color w:val="000000"/>
          <w:sz w:val="28"/>
        </w:rPr>
        <w:t>
      9. Атқарушы агенттiк тиiстi кезеңге арналған бiрнеше өтiнiм берген жағдайда өтiнiм мәлiмделген жобалар басымдығына қарай көрсетіледi.
</w:t>
      </w:r>
      <w:r>
        <w:br/>
      </w:r>
      <w:r>
        <w:rPr>
          <w:rFonts w:ascii="Times New Roman"/>
          <w:b w:val="false"/>
          <w:i w:val="false"/>
          <w:color w:val="000000"/>
          <w:sz w:val="28"/>
        </w:rPr>
        <w:t>
      10. Осы Ережеге сәйкес жасалған өтiнiмдердi атқарушы агенттiктер жоспарланатын жылдың алдындағы жылдың 1 ақпанынан кешiктiрмей уәкілеттi органға жiбередi.
</w:t>
      </w:r>
    </w:p>
    <w:p>
      <w:pPr>
        <w:spacing w:after="0"/>
        <w:ind w:left="0"/>
        <w:jc w:val="both"/>
      </w:pPr>
      <w:r>
        <w:rPr>
          <w:rFonts w:ascii="Times New Roman"/>
          <w:b w:val="false"/>
          <w:i w:val="false"/>
          <w:color w:val="000000"/>
          <w:sz w:val="28"/>
        </w:rPr>
        <w:t>
Байланысты гранттарды    
</w:t>
      </w:r>
      <w:r>
        <w:br/>
      </w:r>
      <w:r>
        <w:rPr>
          <w:rFonts w:ascii="Times New Roman"/>
          <w:b w:val="false"/>
          <w:i w:val="false"/>
          <w:color w:val="000000"/>
          <w:sz w:val="28"/>
        </w:rPr>
        <w:t>
тартуға арналған өтiнiмдер 
</w:t>
      </w:r>
      <w:r>
        <w:br/>
      </w:r>
      <w:r>
        <w:rPr>
          <w:rFonts w:ascii="Times New Roman"/>
          <w:b w:val="false"/>
          <w:i w:val="false"/>
          <w:color w:val="000000"/>
          <w:sz w:val="28"/>
        </w:rPr>
        <w:t>
беру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Жобаның қисынды негiздемесiн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жасау әдiстемесi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қисынды негiздемесi түсiндiрме жазба мен матрицадан тұрады.
</w:t>
      </w:r>
      <w:r>
        <w:br/>
      </w:r>
      <w:r>
        <w:rPr>
          <w:rFonts w:ascii="Times New Roman"/>
          <w:b w:val="false"/>
          <w:i w:val="false"/>
          <w:color w:val="000000"/>
          <w:sz w:val="28"/>
        </w:rPr>
        <w:t>
      2. Жобаның қисынды негiздемесiне түсiндiрме жазба жобада шешілетiн проблеманың сипаттамасы мен тарихын, жоба тұжырымдамасының қысқаша мазмұнын, соның iшiнде жобаны iске асыру болжанып отырған жердi, қысқаша талдауды және ұқсас жобаларды iске асырудың әлемдiк тәжiрибесiн қамтиды. Түсiндiрме жазбада, сондай-ақ проблеманы шешу нұсқасын таңдаған кезде қаралған баламалы нұсқалар және оны шешудiң неғұрлым оңтайлы жолы ретiнде жобаны таңдау негiздемесi сипатталуы тиiс.
</w:t>
      </w:r>
      <w:r>
        <w:br/>
      </w:r>
      <w:r>
        <w:rPr>
          <w:rFonts w:ascii="Times New Roman"/>
          <w:b w:val="false"/>
          <w:i w:val="false"/>
          <w:color w:val="000000"/>
          <w:sz w:val="28"/>
        </w:rPr>
        <w:t>
      3. Матрица мынадай кесте түрiнде беріледi: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853"/>
        <w:gridCol w:w="2713"/>
        <w:gridCol w:w="2993"/>
      </w:tblGrid>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мақсатына
</w:t>
            </w:r>
            <w:r>
              <w:br/>
            </w:r>
            <w:r>
              <w:rPr>
                <w:rFonts w:ascii="Times New Roman"/>
                <w:b w:val="false"/>
                <w:i w:val="false"/>
                <w:color w:val="000000"/>
                <w:sz w:val="20"/>
              </w:rPr>
              <w:t>
қол жеткiзу
</w:t>
            </w:r>
            <w:r>
              <w:br/>
            </w:r>
            <w:r>
              <w:rPr>
                <w:rFonts w:ascii="Times New Roman"/>
                <w:b w:val="false"/>
                <w:i w:val="false"/>
                <w:color w:val="000000"/>
                <w:sz w:val="20"/>
              </w:rPr>
              <w:t>
кезеңдерi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Өлшенетiн
</w:t>
            </w:r>
            <w:r>
              <w:br/>
            </w:r>
            <w:r>
              <w:rPr>
                <w:rFonts w:ascii="Times New Roman"/>
                <w:b w:val="false"/>
                <w:i w:val="false"/>
                <w:color w:val="000000"/>
                <w:sz w:val="20"/>
              </w:rPr>
              <w:t>
көрсеткiштер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w:t>
            </w:r>
            <w:r>
              <w:br/>
            </w:r>
            <w:r>
              <w:rPr>
                <w:rFonts w:ascii="Times New Roman"/>
                <w:b w:val="false"/>
                <w:i w:val="false"/>
                <w:color w:val="000000"/>
                <w:sz w:val="20"/>
              </w:rPr>
              <w:t>
және бағалау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Болжамдар мен
</w:t>
            </w:r>
            <w:r>
              <w:br/>
            </w:r>
            <w:r>
              <w:rPr>
                <w:rFonts w:ascii="Times New Roman"/>
                <w:b w:val="false"/>
                <w:i w:val="false"/>
                <w:color w:val="000000"/>
                <w:sz w:val="20"/>
              </w:rPr>
              <w:t>
тәуекелдер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A1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Г1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Мiндеттерi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Г2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Нәтижелерi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Г3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A4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Г4
</w:t>
            </w:r>
          </w:p>
        </w:tc>
      </w:tr>
    </w:tbl>
    <w:p>
      <w:pPr>
        <w:spacing w:after="0"/>
        <w:ind w:left="0"/>
        <w:jc w:val="both"/>
      </w:pPr>
      <w:r>
        <w:rPr>
          <w:rFonts w:ascii="Times New Roman"/>
          <w:b w:val="false"/>
          <w:i w:val="false"/>
          <w:color w:val="000000"/>
          <w:sz w:val="28"/>
        </w:rPr>
        <w:t>
      4. Матрица төрт деңгейден тұрады және мынадай тәртiппен толтырылады:
</w:t>
      </w:r>
      <w:r>
        <w:br/>
      </w:r>
      <w:r>
        <w:rPr>
          <w:rFonts w:ascii="Times New Roman"/>
          <w:b w:val="false"/>
          <w:i w:val="false"/>
          <w:color w:val="000000"/>
          <w:sz w:val="28"/>
        </w:rPr>
        <w:t>
      "Мақсаты" саланың даму стратегиясында көрсетілген стратегиялық мiндеттердi шешуден тұратын жоба мақсатын көрсетедi;
</w:t>
      </w:r>
      <w:r>
        <w:br/>
      </w:r>
      <w:r>
        <w:rPr>
          <w:rFonts w:ascii="Times New Roman"/>
          <w:b w:val="false"/>
          <w:i w:val="false"/>
          <w:color w:val="000000"/>
          <w:sz w:val="28"/>
        </w:rPr>
        <w:t>
      "Мiндеттерi" жоба нәтижелеріне қол жеткiзуден күтілетiн әсердi көрсетедi;
</w:t>
      </w:r>
      <w:r>
        <w:br/>
      </w:r>
      <w:r>
        <w:rPr>
          <w:rFonts w:ascii="Times New Roman"/>
          <w:b w:val="false"/>
          <w:i w:val="false"/>
          <w:color w:val="000000"/>
          <w:sz w:val="28"/>
        </w:rPr>
        <w:t>
      "Нәтижелерi" iс-шараларды iске асырудың ақша, материалдар мен адами ресурстар салудан жобаны орындаушылар алатын түпкi өнiмдер немесе қызметтер түрiндегi нәтижелердi көрсетедi;
</w:t>
      </w:r>
      <w:r>
        <w:br/>
      </w:r>
      <w:r>
        <w:rPr>
          <w:rFonts w:ascii="Times New Roman"/>
          <w:b w:val="false"/>
          <w:i w:val="false"/>
          <w:color w:val="000000"/>
          <w:sz w:val="28"/>
        </w:rPr>
        <w:t>
      "Ic-шаралар" әрбiр нәтиженi iске асыру үшін нақты iс-әрекеттi көрсетедi. Бiр нәтиженi iске асыру үшiн қажетті 4-тен 10-ға дейiнгi неғұрлым жалпы iс-шараны көрсету ұсынылады.
</w:t>
      </w:r>
      <w:r>
        <w:br/>
      </w:r>
      <w:r>
        <w:rPr>
          <w:rFonts w:ascii="Times New Roman"/>
          <w:b w:val="false"/>
          <w:i w:val="false"/>
          <w:color w:val="000000"/>
          <w:sz w:val="28"/>
        </w:rPr>
        <w:t>
      5. Матрицаның әрбiр деңгейi үшін мынадай көрсеткiштер көрсетіледi:
</w:t>
      </w:r>
      <w:r>
        <w:br/>
      </w:r>
      <w:r>
        <w:rPr>
          <w:rFonts w:ascii="Times New Roman"/>
          <w:b w:val="false"/>
          <w:i w:val="false"/>
          <w:color w:val="000000"/>
          <w:sz w:val="28"/>
        </w:rPr>
        <w:t>
      "Өлшенетiн көрсеткiштер" жобаны iске асыру нәтижесiнде өзгерiстердi әрбiр деңгейде өлшей отырып, матрицаның әрбiр деңгейiне сандық, сапалық және уақыттық сипаттама бередi. Әрбiр деңгейдiң көрсеткiштерi бiр-бiрiне тәуелдi емес;
</w:t>
      </w:r>
      <w:r>
        <w:br/>
      </w:r>
      <w:r>
        <w:rPr>
          <w:rFonts w:ascii="Times New Roman"/>
          <w:b w:val="false"/>
          <w:i w:val="false"/>
          <w:color w:val="000000"/>
          <w:sz w:val="28"/>
        </w:rPr>
        <w:t>
      "Мониторинг және бағалау" ақпарат алмасудың барлық деңгейлерiн және ақпарат беру мерзiмiн қоса алғанда, жобаның iске асырылу барысының мониторингi жүйесiн көрсетедi;
</w:t>
      </w:r>
      <w:r>
        <w:br/>
      </w:r>
      <w:r>
        <w:rPr>
          <w:rFonts w:ascii="Times New Roman"/>
          <w:b w:val="false"/>
          <w:i w:val="false"/>
          <w:color w:val="000000"/>
          <w:sz w:val="28"/>
        </w:rPr>
        <w:t>
      "Болжамдар мен тәуекелдер" тәуекел деңгейiн көрсете отырып, барлық ықтимал тәуекелдер мен оларды бейтараптандыру жөнiнде жоспарланған шараларды көрсетедi.
</w:t>
      </w:r>
      <w:r>
        <w:br/>
      </w:r>
      <w:r>
        <w:rPr>
          <w:rFonts w:ascii="Times New Roman"/>
          <w:b w:val="false"/>
          <w:i w:val="false"/>
          <w:color w:val="000000"/>
          <w:sz w:val="28"/>
        </w:rPr>
        <w:t>
      6. Көлденең бағандар мынадай реттілiкпен толтырылады:
</w:t>
      </w:r>
      <w:r>
        <w:br/>
      </w:r>
      <w:r>
        <w:rPr>
          <w:rFonts w:ascii="Times New Roman"/>
          <w:b w:val="false"/>
          <w:i w:val="false"/>
          <w:color w:val="000000"/>
          <w:sz w:val="28"/>
        </w:rPr>
        <w:t>
      A1 ұяшығында орындауға осы жоба бағытталған мемлекеттiк немесе салалық (секторалдық) бағдарламалардың мiндеттерiн сипаттайтын өлшенетiн көрсеткiштер қамтылады;
</w:t>
      </w:r>
      <w:r>
        <w:br/>
      </w:r>
      <w:r>
        <w:rPr>
          <w:rFonts w:ascii="Times New Roman"/>
          <w:b w:val="false"/>
          <w:i w:val="false"/>
          <w:color w:val="000000"/>
          <w:sz w:val="28"/>
        </w:rPr>
        <w:t>
      Б1 ұяшығы ұлттық статистика мәлiметтерiне, республикалық деңгейдегi есептерге және өзге де ақпаратқа негiзделе отырып толтырылады;
</w:t>
      </w:r>
      <w:r>
        <w:br/>
      </w:r>
      <w:r>
        <w:rPr>
          <w:rFonts w:ascii="Times New Roman"/>
          <w:b w:val="false"/>
          <w:i w:val="false"/>
          <w:color w:val="000000"/>
          <w:sz w:val="28"/>
        </w:rPr>
        <w:t>
      Г1 ұяшығында жоба шеңберiнен тыс, бiрақ жоба нәтижелерiне қол жеткiзу үшiн және ықтимал тәуекелдердi жою үшiн қажеттi шарттар қамтылады;
</w:t>
      </w:r>
      <w:r>
        <w:br/>
      </w:r>
      <w:r>
        <w:rPr>
          <w:rFonts w:ascii="Times New Roman"/>
          <w:b w:val="false"/>
          <w:i w:val="false"/>
          <w:color w:val="000000"/>
          <w:sz w:val="28"/>
        </w:rPr>
        <w:t>
      А2 ұяшығында жоба мiндеттерiн сипаттайтын өлшенетiн көрсеткiштердiң сипаттамасы қамтылады. Көрсеткiштерде жобаның күтілiп отырған пайдасы мен маңызы, сондай-ақ оны iске асырудың болжамды әсерi сипатталады;
</w:t>
      </w:r>
      <w:r>
        <w:br/>
      </w:r>
      <w:r>
        <w:rPr>
          <w:rFonts w:ascii="Times New Roman"/>
          <w:b w:val="false"/>
          <w:i w:val="false"/>
          <w:color w:val="000000"/>
          <w:sz w:val="28"/>
        </w:rPr>
        <w:t>
      Б2 ұяшығында А2 ұяшығында көрсетілген көрсеткiштер қандай ақпарат көзiнде көрiнетiнi көрсетiлуге тиiс. Бұл заттай және ақшалай көрiнiстегi жұмыстардың орындалуы жөнiндегi есептер, қаржыландыру туралы есеп, жоспарлы есептер және өзге де есептер болуы мүмкiн;
</w:t>
      </w:r>
      <w:r>
        <w:br/>
      </w:r>
      <w:r>
        <w:rPr>
          <w:rFonts w:ascii="Times New Roman"/>
          <w:b w:val="false"/>
          <w:i w:val="false"/>
          <w:color w:val="000000"/>
          <w:sz w:val="28"/>
        </w:rPr>
        <w:t>
      Г2 ұяшығы Г1 ұяшығы тәрiздi, бiрақ жобаның мiндеттерiне қатысы бойынша толтырылады;
</w:t>
      </w:r>
      <w:r>
        <w:br/>
      </w:r>
      <w:r>
        <w:rPr>
          <w:rFonts w:ascii="Times New Roman"/>
          <w:b w:val="false"/>
          <w:i w:val="false"/>
          <w:color w:val="000000"/>
          <w:sz w:val="28"/>
        </w:rPr>
        <w:t>
      А3 ұяшығында жоба нәтижелерi үшiн қорытылған жұмыс жоспары ретiнде көрiнетiн өлшенетiн көрсеткiштер қамтылады;
</w:t>
      </w:r>
      <w:r>
        <w:br/>
      </w:r>
      <w:r>
        <w:rPr>
          <w:rFonts w:ascii="Times New Roman"/>
          <w:b w:val="false"/>
          <w:i w:val="false"/>
          <w:color w:val="000000"/>
          <w:sz w:val="28"/>
        </w:rPr>
        <w:t>
      Б3 және Г3 ұяшықтары Б2 және Г2 бағандары тәрiздi толтырылады, тек бұл жағдайда көрсеткiштер мен олардың мониторингi жоба нәтижелерiне қатысты болады;
</w:t>
      </w:r>
      <w:r>
        <w:br/>
      </w:r>
      <w:r>
        <w:rPr>
          <w:rFonts w:ascii="Times New Roman"/>
          <w:b w:val="false"/>
          <w:i w:val="false"/>
          <w:color w:val="000000"/>
          <w:sz w:val="28"/>
        </w:rPr>
        <w:t>
      A4 ұяшығында пайдаланылатын ресурстар сипатталады және iс-шараларды iске асыру үшiн қажеттi бюджет айқындалады. Бұл ретте, құрылысқа, жабдыққа, жұмыс күшiне және өзге ақпаратқа арналған балама бағаларды пайдалану қажет;
</w:t>
      </w:r>
      <w:r>
        <w:br/>
      </w:r>
      <w:r>
        <w:rPr>
          <w:rFonts w:ascii="Times New Roman"/>
          <w:b w:val="false"/>
          <w:i w:val="false"/>
          <w:color w:val="000000"/>
          <w:sz w:val="28"/>
        </w:rPr>
        <w:t>
      Б4 ұяшығында әрбiр көрсеткiштiң тиiмдiлiгiн және оларды бағалау процесiн растайтын мәлiмет көздерi туралы ақпарат қамтылады. Бұл салынған ресурстардың сандық бағасын растайтын құжаттама, мысалы, жабдықтың прайс-парақтары, осыған ұқсас жобалар бойынша есептерi және т.б. болуы мүмкiн;
</w:t>
      </w:r>
      <w:r>
        <w:br/>
      </w:r>
      <w:r>
        <w:rPr>
          <w:rFonts w:ascii="Times New Roman"/>
          <w:b w:val="false"/>
          <w:i w:val="false"/>
          <w:color w:val="000000"/>
          <w:sz w:val="28"/>
        </w:rPr>
        <w:t>
      Г4 ұяшығында жоба шеңберiнен тыс, бiрақ жоба нәтижелерiне қол жеткiзу үшін және ықтимал тәуекелдердi жою үшiн қажетті шарттар қамтылады.
</w:t>
      </w:r>
      <w:r>
        <w:br/>
      </w:r>
      <w:r>
        <w:rPr>
          <w:rFonts w:ascii="Times New Roman"/>
          <w:b w:val="false"/>
          <w:i w:val="false"/>
          <w:color w:val="000000"/>
          <w:sz w:val="28"/>
        </w:rPr>
        <w:t>
      Бұл ретте, қисынды формулалар сақталуға тиiс:
</w:t>
      </w:r>
      <w:r>
        <w:br/>
      </w:r>
      <w:r>
        <w:rPr>
          <w:rFonts w:ascii="Times New Roman"/>
          <w:b w:val="false"/>
          <w:i w:val="false"/>
          <w:color w:val="000000"/>
          <w:sz w:val="28"/>
        </w:rPr>
        <w:t>
      - А2+Г2=A1;
</w:t>
      </w:r>
      <w:r>
        <w:br/>
      </w:r>
      <w:r>
        <w:rPr>
          <w:rFonts w:ascii="Times New Roman"/>
          <w:b w:val="false"/>
          <w:i w:val="false"/>
          <w:color w:val="000000"/>
          <w:sz w:val="28"/>
        </w:rPr>
        <w:t>
      - А3+Г3=А2;
</w:t>
      </w:r>
      <w:r>
        <w:br/>
      </w:r>
      <w:r>
        <w:rPr>
          <w:rFonts w:ascii="Times New Roman"/>
          <w:b w:val="false"/>
          <w:i w:val="false"/>
          <w:color w:val="000000"/>
          <w:sz w:val="28"/>
        </w:rPr>
        <w:t>
      - А4+Г4=A3.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