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dbbb6" w14:textId="0cdbb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Жылжымалы мүлік кепілін мемлекеттік тіркегені үшін алым ставкаларын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2005 жылғы 26 сәуірдегі N 392 Қаулысы. Күші жойылды - ҚР Үкіметінің 2007.04.24. N 325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"Салық және бюджетке төленетін басқа да міндетті төлемдер туралы" Қазақстан Республикасының 2001 жылғы 12 маусымдағы 
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Кодексіне </w:t>
      </w:r>
      <w:r>
        <w:rPr>
          <w:rFonts w:ascii="Times New Roman"/>
          <w:b w:val="false"/>
          <w:i w:val="false"/>
          <w:color w:val="000000"/>
          <w:sz w:val="28"/>
        </w:rPr>
        <w:t>
 (Салық кодексі) және "Жылжымалы мүлік кепілін тіркеу туралы" Қазақстан Республикасының 1998 жылғы 30 маусымдағы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Заңына </w:t>
      </w:r>
      <w:r>
        <w:rPr>
          <w:rFonts w:ascii="Times New Roman"/>
          <w:b w:val="false"/>
          <w:i w:val="false"/>
          <w:color w:val="000000"/>
          <w:sz w:val="28"/>
        </w:rPr>
        <w:t>
 сәйкес Қазақстан Республикасының Үкіметі 
</w:t>
      </w:r>
      <w:r>
        <w:rPr>
          <w:rFonts w:ascii="Times New Roman"/>
          <w:b/>
          <w:i w:val="false"/>
          <w:color w:val="000000"/>
          <w:sz w:val="28"/>
        </w:rPr>
        <w:t>
ҚАУЛЫ ЕТЕДІ: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жылжымалы мүлік кепілін мемлекеттік тіркегені үшін алым ставкалары бекітілсін.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 рет ресми жарияланғаннан кейін он күнтізбелік күн өткен соң қолданысқа енгізіледі.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Үкіметінің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2005 жылғы 26 сәуірдегі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392 қаулысымен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бекітілген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Жылжымалы мүлік кепілін мемлекеттік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тіркегені үшін алым ставкалары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Жылжымалы мүлік кепілін мемлекеттік тіркегені үшін алым ставкалары: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жеке тұлғалардан - алым төлеген күні қолданылған бір айлық есептік көрсеткішті;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заңды тұлғалардан - алым төлеген күні қолданылған бес айлық есептік көрсеткішті құрайды.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Жылжымалы мүлік кепілін мемлекеттік тіркегенін куәландыратын құжаттың телнұсқасын бергені үшін алым ставкалары: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жеке және заңды тұлғалардан - алым төлеген күні қолданылған бір айлық есептік көрсеткіштің 50 пайызын құрайды.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