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b801" w14:textId="104b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"Қазақстан Республикасының әдiлет органдары қылмыстық-атқару жүйесiнiң қатардағы және басшы құрамдағы адамдары антының мәтiнiн бекiту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31 наурыздағы N 290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"Қазақстан Республикасының әдiлет органдары қылмыстық-атқару жүйесiнiң қатардағы және басшы құрамдағы адамдары антының мәтiнiн бекiту туралы" Жарлығының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Қазақстан Республикасының әдiлет органдары </w:t>
      </w:r>
      <w:r>
        <w:br/>
      </w:r>
      <w:r>
        <w:rPr>
          <w:rFonts w:ascii="Times New Roman"/>
          <w:b/>
          <w:i w:val="false"/>
          <w:color w:val="000000"/>
        </w:rPr>
        <w:t xml:space="preserve">
қылмыстық-атқару жүйесiнiң қатардағы және басшы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құрамдағы адамдары антының мәтiнiн бекiту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"Әдiлет органдары туралы" Қазақстан Республикасының 2002 жылғы 18 наурыздағы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Республикасының әдiлет органдары қылмыстық-атқару жүйесiнiң қатардағы және басшы құрамдағы адамдары антының мәтiнi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