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da73" w14:textId="b4b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11 маусымдағы N 565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тiзiлiмдерiн жасау мақсатында Жеке (заңды) тұлғаның бiрыңғай нөмiрiне (сәйкестендiру нөмiрiне (бизнес-сәйкестендiру нөмiрiне) көшу бағдарламасын бекiту туралы" Қазақстан Республикасы Үкiметiнiң 2003 жылғы 11 маусымдағы N 565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26, 247-құжат)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Ұлттық тiзiлiмдерiн жасау мақсатында Жеке (заңды) тұлғаның бiрыңғай нөмiрiне (сәйкестендiру нөмiрiне (бизнес-сәйкестендiру нөмiрiне) көшу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мен тетiктерi"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"БСН-дi генерациялау алгоритмi" деген 4-кiшi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бесiншi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бағандағы "3 - өзге де оқшауланған құрылымдық бөлiмше"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"Бақылау разрядының мәнiн есептеу алгоритмi" деген 5-кiшi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"бiр циклда мынадай алгоритм" деген сөздер "екi циклда мынадай алгоритм"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"mod 10" деген сөздер "mod 11"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пен кесте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"СН (БСН) қолдану тетiгi мен аясы" деген 6-кіші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төртiншi абзацтағы "және басқа да оқшауланған құрылымдық бөлiмшесiн салық органдарында тіркеу" деген сөздер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