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1c44" w14:textId="8811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маусымдағы N 197и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72-қосымшада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бесiншi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Сырдария өзенiнiң гидрологиялық режимiнiң нашарлауын және антропогендiк жүктеменiң өсуiн ескере отырып, Шардара су торабынан төмен Кiшi Аралға дейiнгi арнасының су өткiзу қабiлетiн ұлғайту жөнiнде шұғыл және перспективалы iс-шаралар кешенiн әзiрлеу: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iрi су тораптары аралығындағы осал учаскелердегi өзен арнасының өткiзу (суды, мұзды және қайырды) қабiлетiне баға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 және қыс кезеңдерiндегi арналық процестердiң бағытын анықтау осал учаскелердi және олардың пайда болуының (гидрологиялық, антропогендiк) себептерiн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тораптарын (Әйтек, Ақлақ және басқалары) қайта жаңғыртудан және қысқы энергетикалық су жiберулердiң ұлғаюынан кейiнгi ықтимал арналық процестердi болжау;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тораптарын (Әйтек, Ақлақ және басқалары) қайта жаңғыртудан және қысқы энергетикалық су жiберудің ұлғаюынан кейiнгi ықтимал арналық процестердi бағалау және болжау жөніндегі ақпараттық пакетiн дайындау.".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