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0d02" w14:textId="9b30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Көлiк және коммуникациялар министрлiгi Аэроғарыш комитетiнiң "Байқоңырбаланс" мемлекеттік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Федерациясының Yкiметi жалға алған "Байқоңыр" кешенiнiң мүлкiне бухгалтерлiк есеп жүргізудi қамтамасыз ету мақсатында Қазақстан Республикасының заңнамасына 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Көлiк және коммуникациялар министрлiгi Аэроғарыш комитетiнiң "Байқоңырбаланс" мемлекеттiк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қызметiнiң негiзгi мәнi Ресей Федерациясының Yкiметi жалға алған "Байқоңыр" кешенiнiң және Ресей авиациялық-ғарыш агенттiгі ұйымдарының қарамағындағы мүлiкке бухгалтерлiк есеп жүргiзу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Көлiк және коммуникациялар министрлiгiнiң Аэроғарыш комитетi заңнамада белгiлеген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Мекеменiң Жарғысын бекiтсiн және оның әдiлет органдарында мемлекеттiк тiркелуiн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