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44bf" w14:textId="f464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1360</w:t>
      </w:r>
    </w:p>
    <w:p>
      <w:pPr>
        <w:spacing w:after="0"/>
        <w:ind w:left="0"/>
        <w:jc w:val="both"/>
      </w:pPr>
      <w:r>
        <w:rPr>
          <w:rFonts w:ascii="Times New Roman"/>
          <w:b w:val="false"/>
          <w:i w:val="false"/>
          <w:color w:val="000000"/>
          <w:sz w:val="28"/>
        </w:rPr>
        <w:t xml:space="preserve">       Ақмола облысының аумағында iрi ауқымды табиғи өрттерден зардап шеккен тұрғындарға көмек көрсету, шаруашылық жүргiзу объектiлерiнiң тiршiлiгiн қалпына келтiру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Ақмола облысының әкiмiне облыс аумағында iрi ауқымды табиғи өрттердi жою кезiнде келтiрілген шығындардың орнын толтыруға 2002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99800000 (тоқсан тоғыз миллион сегiз жүз мың)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Ақмола облысының әкiмi Қазақстан Республикасының Төтенше жағдайлар жөнiндегi агенттiгіне орындалған жұмыстардың көлемдерi мен құны туралы есеп берсiн.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