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ef90" w14:textId="54ce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азық-түлік тауарларының импорты кезiнде уақытша қорғау баждарын өндiріп алудан түскен ақшаны депозиттен республикалық бюджетке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14 қазан N 1122</w:t>
      </w:r>
    </w:p>
    <w:p>
      <w:pPr>
        <w:spacing w:after="0"/>
        <w:ind w:left="0"/>
        <w:jc w:val="both"/>
      </w:pPr>
      <w:r>
        <w:rPr>
          <w:rFonts w:ascii="Times New Roman"/>
          <w:b w:val="false"/>
          <w:i w:val="false"/>
          <w:color w:val="000000"/>
          <w:sz w:val="28"/>
        </w:rPr>
        <w:t>      "Тауарлар импорты жағдайында iшкi рынокты қорғау шаралары туралы" Қазақстан Республикасының 1998 жылғы 28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және жүргiзiлген анықтау нәтижесiнiң қорытындысы негiзiнде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Республикасының Кедендiк бақылау агенттiгi "Жекелеген азық-түлiк тауарлар импорты кезiнде уақытша қорғау шараларын енгiзу туралы" Қазақстан Республикасы Үкiметiнiң 2000 жылғы 17 қазандағы N 1548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тауарлар импорты кезiнде уақытша қорғау баждарын өндiрiп алу нәтижесiнде алынған ақшаны депозиттен республикалық бюджетке енгізсiн.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министрлiгi Қазақстан Республикасының Сыртқы iстер министрлiгiмен бiрлесiп, белгiленген тәртiппен Еуразиялық экономикалық қоғамдастықтың Интеграциялық комитетiнiң хатшылығын және Тәуелсiз Мемлекеттер Достастығының Атқару комитетiн жүргiзiлген анықтаудың нәтижесi туралы хабардар етсiн. </w:t>
      </w:r>
    </w:p>
    <w:bookmarkEnd w:id="1"/>
    <w:bookmarkStart w:name="z3" w:id="2"/>
    <w:p>
      <w:pPr>
        <w:spacing w:after="0"/>
        <w:ind w:left="0"/>
        <w:jc w:val="both"/>
      </w:pPr>
      <w:r>
        <w:rPr>
          <w:rFonts w:ascii="Times New Roman"/>
          <w:b w:val="false"/>
          <w:i w:val="false"/>
          <w:color w:val="000000"/>
          <w:sz w:val="28"/>
        </w:rPr>
        <w:t xml:space="preserve">
      3. Осы қаулы ресми жарияланған күнiнен бастап қолданысқа енгізіледi.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