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5d01" w14:textId="ded5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кен-металлургия саласының кейбiр ұйымдары акцияларының мемлекеттiк пакеттерiн жекешелендiру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3 қазан N 1087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"Жекешелендiру туралы" 1995 жылғы 23 желтоқсандағы N 2721 заң күшi бар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"2002 жылға арналған республикалық бюджет туралы" Қазақстан Республикасының 2001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асыру, Қазақстан Республикасында бағалы қағаздардың ұйымдастырылған рыногын жандандыру мақсатында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Мемлекеттiк мүлiк және жекешелендiру комитетi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&lt;*&gt;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2002.12.23. N 1345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1-тармағы 1) тармақшасының екiншi абзацын орындауды көрсетілген келісім-шарттың нақты қолданылуы мерзімін ескере отырып, есептелген акциялардың мемлекеттік пакетін сенімгерлік басқаруға бергені үшін бұрын алдын ала төленген сыйақының бір бөлігін қайтара отырып, сенiмгерлiк басқару туралы тиiстi келiсiм-шарт бұзылғаннан кейiн жүзеге асырсын;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өзгерді - ҚР Үкіметінің 2002.12.27. N 1392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Осы қаулының орындалуын бақылау Қазақстан Республикасының Қаржы министрi З.Х.Кәкімжановқа жүктелсiн.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