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ef8c" w14:textId="ec0e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19 маусым N 920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Президентінің Әкімшілігіне 2000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 Президентінің Әкімшілігі мұрағатының өртке қарсы жабдықтар сатып алуына, оны қондыруға және ескірген радиоизотопты түтін хабарлағыштарды көмуге байланысты іс-шараларды жүргізуге 2 500 000 (екі миллион бес жүз мың) теңге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сомасында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