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5f41" w14:textId="a6b5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 психотроптық заттарды және олардың прекурсорларын Еуразиялық экономикалық одақтың кедендік аумағына әкелу және Еуразиялық экономикалық одақтың кедендік аумағынан шығару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2026 жылғы 17 ақпандағы № 16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(аталған Шартқа тіркелген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Есірткі құралдарын, психотроптық заттарды және олардың прекурсорларын Еуразиялық экономикалық одақтың кедендік аумағына әкелу және Еуразиялық экономикалық одақтың кедендік аумағынан шығару туралы </w:t>
      </w:r>
      <w:r>
        <w:rPr>
          <w:rFonts w:ascii="Times New Roman"/>
          <w:b w:val="false"/>
          <w:i w:val="false"/>
          <w:color w:val="000000"/>
          <w:sz w:val="28"/>
        </w:rPr>
        <w:t>ережеге</w:t>
      </w:r>
      <w:r>
        <w:rPr>
          <w:rFonts w:ascii="Times New Roman"/>
          <w:b w:val="false"/>
          <w:i w:val="false"/>
          <w:color w:val="000000"/>
          <w:sz w:val="28"/>
        </w:rPr>
        <w:t xml:space="preserve"> (Еуразиялық экономикалық комиссия Алқасының 2015 жылғы 21 сәуірдегі № 30 шешіміне тіркелген № 10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p>
    <w:bookmarkEnd w:id="2"/>
    <w:p>
      <w:pPr>
        <w:spacing w:after="0"/>
        <w:ind w:left="0"/>
        <w:jc w:val="both"/>
      </w:pPr>
      <w:r>
        <w:rPr>
          <w:rFonts w:ascii="Times New Roman"/>
          <w:b w:val="false"/>
          <w:i w:val="false"/>
          <w:color w:val="000000"/>
          <w:sz w:val="28"/>
        </w:rPr>
        <w:t>
      "Қағидалардың 10-тармағының "е" тармақшасына сәйкес есірткі құралдарын, психотроптық заттарды және олардың прекурсорларын экспорттауға лицензия рәсімдеу үшін өтініш берушілер импорттаушы мемлекеттің құзыретті органы берген есірткі құралдарының, психотроптық заттардың және олардың прекурсорларының нақты партиясын әкелуге рұқсатты (түпнұсқасын немесе нотариалды куәландырылған көшірмесін немесе, егер бұл мүше мемлекеттің заңнамасында көзделген болса, Қағидалардың 11-тармағына сәйкес ресімделген құжаттың көшірмесін) не аталған рұқсаттың талап етілмейтіні туралы осы органның ресми хабарламасын (түпнұсқасын немесе нотариалды куәландырылған көшірмесін немесе, егер бұл мүше мемлекеттің заңнамасында көзделген болса, Қағидалардың 11-тармағына сәйкес ресімделген құжаттың көшірмесін) ұсынады.";</w:t>
      </w:r>
    </w:p>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12-тармақ</w:t>
      </w:r>
      <w:r>
        <w:rPr>
          <w:rFonts w:ascii="Times New Roman"/>
          <w:b w:val="false"/>
          <w:i w:val="false"/>
          <w:color w:val="000000"/>
          <w:sz w:val="28"/>
        </w:rPr>
        <w:t xml:space="preserve"> бірінші абзацтан кейін мынадай мазмұндағы абзацпен толықтырылсын:</w:t>
      </w:r>
    </w:p>
    <w:bookmarkEnd w:id="3"/>
    <w:p>
      <w:pPr>
        <w:spacing w:after="0"/>
        <w:ind w:left="0"/>
        <w:jc w:val="both"/>
      </w:pPr>
      <w:r>
        <w:rPr>
          <w:rFonts w:ascii="Times New Roman"/>
          <w:b w:val="false"/>
          <w:i w:val="false"/>
          <w:color w:val="000000"/>
          <w:sz w:val="28"/>
        </w:rPr>
        <w:t xml:space="preserve">
      "Осы Ереженің 10-тармағының екінші абзацында көрсетілген құжаттарды өтініш берушілер келісуші органға ұсынады. Бұл ретте мүше мемлекеттің уәкілетті органына аталған құжаттар ұсынылмайды.". </w:t>
      </w:r>
    </w:p>
    <w:bookmarkStart w:name="z5" w:id="4"/>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