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c253" w14:textId="1b4c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коррозияға төзімді (тот баспайтын) болаттан жасалған дәнекерленген құбырларға, түтіктерге және қуыс профильдерге қатысты демпингке қарсы шара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2025 жылғы 20 қаңтардағы № 4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антидемпингтік және өтемақы шараларын қолдану туралы хаттаманың (2014 жылғы 29 мамырдағы Еуразиялық экономикалық одақ туралы шартқа тіркелген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"Қытай Халық Республикасынан шығарылатын және Еуразиялық экономикалық одақтың кедендік аумағына әкелінетін коррозияға төзімді (тот баспайтын) болаттан жасалған дәнекерленген құбырларға, түтіктерге және қуыс профильдерге қатысты демпингке қарсы баж енгізу арқылы демпингке қарсы шара қолдану туралы" 2021 жылғы 9 ақпандағы № 12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қолданылуы 2026 жылғы 12 қарашаны қоса алғандағы мерзімге дейін ұзартылсын.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 мемлекеттік органдары осы Шешім күшіне енген күннен бастап 2026 жылғы 12 қарашаны қоса алғандағы мерзімде Еуразиялық экономикалық комиссия Алқасының 2021 жылғы 9 ақпандағы № 12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мөлшерлемелер бойынша демпингке қарсы баждың алдын ала демпингке қарсы баждарды алу үшін белгіленген тәртіппен алынуын қамтамасыз етсін.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өткеннен кейін, 2026 жылғы 14 наурыздан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