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07b9" w14:textId="ccc0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жүзбелі кемелердің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"Еуразиялық экономикалық одақты бірыңғай кедендік-тарифтік реттеу туралы" 2009 жылғы 27 қарашадағы № 130 шешімінің 7-тармағының 7.1.6-тармақшасы мынадай редакцияда жазылсын:</w:t>
      </w:r>
    </w:p>
    <w:bookmarkEnd w:id="1"/>
    <w:bookmarkStart w:name="z3" w:id="2"/>
    <w:p>
      <w:pPr>
        <w:spacing w:after="0"/>
        <w:ind w:left="0"/>
        <w:jc w:val="both"/>
      </w:pPr>
      <w:r>
        <w:rPr>
          <w:rFonts w:ascii="Times New Roman"/>
          <w:b w:val="false"/>
          <w:i w:val="false"/>
          <w:color w:val="000000"/>
          <w:sz w:val="28"/>
        </w:rPr>
        <w:t>
      "7.1.6. Мүше мемлекеттердің заңнамасында белгіленген халықаралық кемелер тізілімінде тіркелетін (тіркелген) жүзбелі кемелер.".</w:t>
      </w:r>
    </w:p>
    <w:bookmarkEnd w:id="2"/>
    <w:bookmarkStart w:name="z4" w:id="3"/>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әкелген кезде кедендік баждар төлеуден босатуды қолдану тәртібінің 9-тармағы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"9. Кеден одағы Комиссиясының 209 жылғы 27 қарашадағы № 130 шешімінің 7-тармағының 7.1.6-тармақшасында көзделген тарифтік жеңілдік жүзбелі кемелерге қатысты оларды Еуразиялық экономикалық одаққа мүше мемлекет халықаралық кемелер тізбесінде тіркеген жағдайда ұсынылады. </w:t>
      </w:r>
    </w:p>
    <w:bookmarkEnd w:id="4"/>
    <w:bookmarkStart w:name="z6" w:id="5"/>
    <w:p>
      <w:pPr>
        <w:spacing w:after="0"/>
        <w:ind w:left="0"/>
        <w:jc w:val="both"/>
      </w:pPr>
      <w:r>
        <w:rPr>
          <w:rFonts w:ascii="Times New Roman"/>
          <w:b w:val="false"/>
          <w:i w:val="false"/>
          <w:color w:val="000000"/>
          <w:sz w:val="28"/>
        </w:rPr>
        <w:t>
      Көрсетілген тарифтік жеңілдікді ұсыну шарттарын орындауды растайтын құжат Еуразиялық экономикалық одаққа мүше мемлекеттің кемелердің халықаралық тізбесінде кемені тіркеу туралы куәлік немесе Еуразиялық экономикалық одаққа мүше мемлекеттің кемелердің халықаралық тізбесінен үзінді (бұдан әрі – кемені тіркеуді растайтын құжат) болып табылады.</w:t>
      </w:r>
    </w:p>
    <w:bookmarkEnd w:id="5"/>
    <w:bookmarkStart w:name="z7" w:id="6"/>
    <w:p>
      <w:pPr>
        <w:spacing w:after="0"/>
        <w:ind w:left="0"/>
        <w:jc w:val="both"/>
      </w:pPr>
      <w:r>
        <w:rPr>
          <w:rFonts w:ascii="Times New Roman"/>
          <w:b w:val="false"/>
          <w:i w:val="false"/>
          <w:color w:val="000000"/>
          <w:sz w:val="28"/>
        </w:rPr>
        <w:t>
      Жүзбелі кемені кедендік декларациялау кезінде кемені тіркеуді растайтын құжат болмаған жағдайда, мұндай құжат тауарларға арналған декларацияны тіркеу күнінен бастап күнтізбелік 45 күннен кешіктірмей, ал тауарларға арналған декларация берілгенге дейін тауарлар шығарылған жағдайда – тауарларды шығару туралы өтініш тіркелген күннен бастап тауарларға арналған декларация берілгенге дейін Еуразиялық экономикалық одаққа мүше мемлекеттің кеден органына ұсынылуы тиіс.</w:t>
      </w:r>
    </w:p>
    <w:bookmarkEnd w:id="6"/>
    <w:bookmarkStart w:name="z8" w:id="7"/>
    <w:p>
      <w:pPr>
        <w:spacing w:after="0"/>
        <w:ind w:left="0"/>
        <w:jc w:val="both"/>
      </w:pPr>
      <w:r>
        <w:rPr>
          <w:rFonts w:ascii="Times New Roman"/>
          <w:b w:val="false"/>
          <w:i w:val="false"/>
          <w:color w:val="000000"/>
          <w:sz w:val="28"/>
        </w:rPr>
        <w:t>
      Кемені тіркеуды растайтын құжатты осы тармақтың үшінші абзацында белгіленген мерзімде ұсынбау тарифтік жеңілдікті ұсыну шарттарын бұзушылық болып табылады.".</w:t>
      </w:r>
    </w:p>
    <w:bookmarkEnd w:id="7"/>
    <w:bookmarkStart w:name="z9" w:id="8"/>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8"/>
    <w:bookmarkStart w:name="z10" w:id="9"/>
    <w:p>
      <w:pPr>
        <w:spacing w:after="0"/>
        <w:ind w:left="0"/>
        <w:jc w:val="both"/>
      </w:pPr>
      <w:r>
        <w:rPr>
          <w:rFonts w:ascii="Times New Roman"/>
          <w:b w:val="false"/>
          <w:i w:val="false"/>
          <w:color w:val="000000"/>
          <w:sz w:val="28"/>
        </w:rPr>
        <w:t>
      2022 жылғы 28 наурыздан бастап осы Шешім күшіне енетін күнге дейін Кеден одағы Комиссиясының 2009 жылғы 27 қарашадағы № 130 шешімінің 7-тармағының 7.1.6-тармақшасында белгіленген тарифтік жеңілдікті қолданумен кедендік рәсімімен орналастырылған және ЕАЭО СЭҚ ТН 8901 10, 8901 20, 8901 30, 8901 90, 8903 22 000 0, 8903 32 100 0, 8903 99 000 0, 8904 00, 8905, 8906 90 кодтарымен сыныпталатын кемелерге қатысты осы Шешімнің 2-тармағының ережелері қолданылады.</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w:t>
      </w:r>
      <w:r>
        <w:rPr>
          <w:rFonts w:ascii="Times New Roman"/>
          <w:b/>
          <w:i w:val="false"/>
          <w:color w:val="000000"/>
          <w:sz w:val="28"/>
        </w:rPr>
        <w:t xml:space="preserve"> комиссии </w:t>
      </w:r>
      <w:r>
        <w:rPr>
          <w:rFonts w:ascii="Times New Roman"/>
          <w:b/>
          <w:i w:val="false"/>
          <w:color w:val="000000"/>
          <w:sz w:val="28"/>
        </w:rPr>
        <w:t>Кеңесінің мүшелері</w:t>
      </w:r>
      <w:r>
        <w:rPr>
          <w:rFonts w:ascii="Times New Roman"/>
          <w:b/>
          <w:i w:val="false"/>
          <w:color w:val="000000"/>
          <w:sz w:val="28"/>
        </w:rPr>
        <w: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p>
          <w:p>
            <w:pPr>
              <w:spacing w:after="20"/>
              <w:ind w:left="20"/>
              <w:jc w:val="both"/>
            </w:pPr>
            <w:r>
              <w:rPr>
                <w:rFonts w:ascii="Times New Roman"/>
                <w:b w:val="false"/>
                <w:i w:val="false"/>
                <w:color w:val="000000"/>
                <w:sz w:val="20"/>
              </w:rPr>
              <w:t>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