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c642" w14:textId="c34c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органы кедендік баждарды, салықтарды, арнайы, демпингке қарсы, өтем баждарын есептеу жағдайларының сыныптауышына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24 желтоқсандағы № 132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52-бабы </w:t>
      </w:r>
      <w:r>
        <w:rPr>
          <w:rFonts w:ascii="Times New Roman"/>
          <w:b w:val="false"/>
          <w:i w:val="false"/>
          <w:color w:val="000000"/>
          <w:sz w:val="28"/>
        </w:rPr>
        <w:t>4-тармағына</w:t>
      </w:r>
      <w:r>
        <w:rPr>
          <w:rFonts w:ascii="Times New Roman"/>
          <w:b w:val="false"/>
          <w:i w:val="false"/>
          <w:color w:val="000000"/>
          <w:sz w:val="28"/>
        </w:rPr>
        <w:t xml:space="preserve"> және 71-бабы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органы кедендік баждарды, салықтарды, арнайы, демпингке қарсы, өтем баждарын есептеу жағдайларының сыныптауышына (2017 жылғы 7 қарашадағы Еуразиялық экономикалық комиссия Алқасының № 137 шешімімен бекітілген кедендік баждарды, салықтарды, арнайы, демпингке қарсы, өтемақы баждарын есептеу есебін толтыру және мұндай есепке өзгерістер (толықтырулар) </w:t>
      </w:r>
      <w:r>
        <w:rPr>
          <w:rFonts w:ascii="Times New Roman"/>
          <w:b w:val="false"/>
          <w:i w:val="false"/>
          <w:color w:val="000000"/>
          <w:sz w:val="28"/>
        </w:rPr>
        <w:t>енгізу тәртібіне</w:t>
      </w:r>
      <w:r>
        <w:rPr>
          <w:rFonts w:ascii="Times New Roman"/>
          <w:b w:val="false"/>
          <w:i w:val="false"/>
          <w:color w:val="000000"/>
          <w:sz w:val="28"/>
        </w:rPr>
        <w:t xml:space="preserve"> № 1 қосымша)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бірақ 2023 жылғы 25 желтоқсанда қол қойылған 2017 жылғы 11 сәуірдегі Еуразиялық экономикалық одақтың Кеден кодексі туралы шартқа өзгерістер енгізу туралы хаттама күшіне енген күннен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132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органы кедендік баждарды, салықтарды, арнайы, демпингке қарсы, өтем баждарын есептеу жағдайларының сыныптауышына енгізілетін ӨЗГЕРІСТЕР</w:t>
      </w:r>
    </w:p>
    <w:bookmarkEnd w:id="3"/>
    <w:bookmarkStart w:name="z6" w:id="4"/>
    <w:p>
      <w:pPr>
        <w:spacing w:after="0"/>
        <w:ind w:left="0"/>
        <w:jc w:val="both"/>
      </w:pPr>
      <w:r>
        <w:rPr>
          <w:rFonts w:ascii="Times New Roman"/>
          <w:b w:val="false"/>
          <w:i w:val="false"/>
          <w:color w:val="000000"/>
          <w:sz w:val="28"/>
        </w:rPr>
        <w:t>
      1. 1708 коды бар позициядан кейін келесі мазмұндағы XVIII тарауымен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 кодексінің 309</w:t>
            </w:r>
            <w:r>
              <w:rPr>
                <w:rFonts w:ascii="Times New Roman"/>
                <w:b w:val="false"/>
                <w:i w:val="false"/>
                <w:color w:val="000000"/>
                <w:vertAlign w:val="superscript"/>
              </w:rPr>
              <w:t>6</w:t>
            </w:r>
            <w:r>
              <w:rPr>
                <w:rFonts w:ascii="Times New Roman"/>
                <w:b/>
                <w:i w:val="false"/>
                <w:color w:val="000000"/>
                <w:sz w:val="20"/>
              </w:rPr>
              <w:t>-бабының 17-тармағында көрсетілген мән-жайлардың туындауы.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өткізуге арналған электрондық сауда тауарларының кеден қоймасы кедендік рәсімінің қолданылуы аяқталғанға дейін жоғалуы,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жағдайларында табиғи кему нәтижесінде қайтарымсыз жоғалуды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өткізуге арналған электрондық сауда тауарларына қатысты Еуразиялық экономикалық одақтың Кеден кодексінің 309</w:t>
            </w:r>
            <w:r>
              <w:rPr>
                <w:rFonts w:ascii="Times New Roman"/>
                <w:b w:val="false"/>
                <w:i w:val="false"/>
                <w:color w:val="000000"/>
                <w:vertAlign w:val="superscript"/>
              </w:rPr>
              <w:t>6</w:t>
            </w:r>
            <w:r>
              <w:rPr>
                <w:rFonts w:ascii="Times New Roman"/>
                <w:b w:val="false"/>
                <w:i w:val="false"/>
                <w:color w:val="000000"/>
                <w:sz w:val="20"/>
              </w:rPr>
              <w:t>-бабының 13-тармағында көрсетілген мерзімдер ішінде электрондық сауда тауарларына арналған декларацияның берілмеуі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өткізуге арналған электрондық сауда тауарларын Еуразиялық экономикалық одақтың Кеден кодексінің 309</w:t>
            </w:r>
            <w:r>
              <w:rPr>
                <w:rFonts w:ascii="Times New Roman"/>
                <w:b w:val="false"/>
                <w:i w:val="false"/>
                <w:color w:val="000000"/>
                <w:vertAlign w:val="superscript"/>
              </w:rPr>
              <w:t>6</w:t>
            </w:r>
            <w:r>
              <w:rPr>
                <w:rFonts w:ascii="Times New Roman"/>
                <w:b w:val="false"/>
                <w:i w:val="false"/>
                <w:color w:val="000000"/>
                <w:sz w:val="20"/>
              </w:rPr>
              <w:t>-бабының 4-тармағының 2 және 3-тармақшаларына және 5-тармағына сәйкес кеден қоймасы кедендік рәсімінің қолданылуы аяқталғанға дейін құрылыстардан (үй-жайлардан, алаңдардан) әкету не Еуразиялық экономикалық одақтың Кеден кодексінің 309</w:t>
            </w:r>
            <w:r>
              <w:rPr>
                <w:rFonts w:ascii="Times New Roman"/>
                <w:b w:val="false"/>
                <w:i w:val="false"/>
                <w:color w:val="000000"/>
                <w:vertAlign w:val="superscript"/>
              </w:rPr>
              <w:t>6</w:t>
            </w:r>
            <w:r>
              <w:rPr>
                <w:rFonts w:ascii="Times New Roman"/>
                <w:b w:val="false"/>
                <w:i w:val="false"/>
                <w:color w:val="000000"/>
                <w:sz w:val="20"/>
              </w:rPr>
              <w:t>-бабының 10-тармағында көзделген кеден органын хабардар етпей әкету".</w:t>
            </w:r>
          </w:p>
        </w:tc>
      </w:tr>
    </w:tbl>
    <w:bookmarkStart w:name="z7" w:id="5"/>
    <w:p>
      <w:pPr>
        <w:spacing w:after="0"/>
        <w:ind w:left="0"/>
        <w:jc w:val="both"/>
      </w:pPr>
      <w:r>
        <w:rPr>
          <w:rFonts w:ascii="Times New Roman"/>
          <w:b w:val="false"/>
          <w:i w:val="false"/>
          <w:color w:val="000000"/>
          <w:sz w:val="28"/>
        </w:rPr>
        <w:t>
      2. XVIII тарауда:</w:t>
      </w:r>
    </w:p>
    <w:bookmarkEnd w:id="5"/>
    <w:bookmarkStart w:name="z8" w:id="6"/>
    <w:p>
      <w:pPr>
        <w:spacing w:after="0"/>
        <w:ind w:left="0"/>
        <w:jc w:val="both"/>
      </w:pPr>
      <w:r>
        <w:rPr>
          <w:rFonts w:ascii="Times New Roman"/>
          <w:b w:val="false"/>
          <w:i w:val="false"/>
          <w:color w:val="000000"/>
          <w:sz w:val="28"/>
        </w:rPr>
        <w:t>
      а) атауындағы "XVIII" цифрлары "XIX" цифрларымен алмастырылсын;</w:t>
      </w:r>
    </w:p>
    <w:bookmarkEnd w:id="6"/>
    <w:bookmarkStart w:name="z9" w:id="7"/>
    <w:p>
      <w:pPr>
        <w:spacing w:after="0"/>
        <w:ind w:left="0"/>
        <w:jc w:val="both"/>
      </w:pPr>
      <w:r>
        <w:rPr>
          <w:rFonts w:ascii="Times New Roman"/>
          <w:b w:val="false"/>
          <w:i w:val="false"/>
          <w:color w:val="000000"/>
          <w:sz w:val="28"/>
        </w:rPr>
        <w:t>
      б) "1801" коды "9999" кодымен алмастырылсын.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