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9456" w14:textId="6859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ерікті негізде "Қаптаманың қауіпсіздігі туралы" Кеден одағының техникалық регламентінің (КО ТР 005/2011) талаптарын сақтау қамтамасыз етілетін мемлекетаралық стандарттарды, сондай-ақ "Қаптаманың қауіпсіздігі туралы" Кеден одағының техникалық регламентінің (КО ТР 005/2011)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бағдарламаға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9 желтоқсандағы № 121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2023 жылғы 21 наурыздағы Еуразиялық экономикалық комиссия Алқасының № 35 Шешімімен бекітілген Қолдану нәтижесінде ерікті негізде "Қаптаманың қауіпсіздігі туралы" Кеден одағының техникалық регламентінің (КО ТР 005/2011) талаптарын сақтау қамтамасыз етілетін мемлекетаралық стандарттарды, сондай-ақ "Қаптаманың қауіпсіздігі туралы" Кеден одағының техникалық регламентінің (КО ТР 005/2011)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9 желтоқсандағы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121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Қолдану нәтижесінде ерікті негізде "Қаптаманың қауіпсіздігі туралы" Кеден одағының техникалық регламентінің (КО ТР 005/2011) талаптарын сақтау қамтамасыз етілетін мемлекетаралық стандарттарды, сондай-ақ "Қаптаманың қауіпсіздігі туралы" Кеден одағының техникалық регламентінің (КО ТР 005/2011)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бағдарламаға енгізілетін ӨЗГЕРІС</w:t>
      </w:r>
    </w:p>
    <w:bookmarkEnd w:id="3"/>
    <w:bookmarkStart w:name="z6" w:id="4"/>
    <w:p>
      <w:pPr>
        <w:spacing w:after="0"/>
        <w:ind w:left="0"/>
        <w:jc w:val="both"/>
      </w:pPr>
      <w:r>
        <w:rPr>
          <w:rFonts w:ascii="Times New Roman"/>
          <w:b w:val="false"/>
          <w:i w:val="false"/>
          <w:color w:val="000000"/>
          <w:sz w:val="28"/>
        </w:rPr>
        <w:t>
      Келесі мазмұндағы 42 – 46 позициялармен толықтырылсын: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Пластмассалар. Қордалауға қойылатын талаптар. ISO 17088:2021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11-тармағы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2029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 Индуктивті байланысқан плазмасы бар атомдық-эмиссиялық спектрометрия (ICP-OES) әдісімен кейбір элементтерді анықтау.</w:t>
            </w:r>
          </w:p>
          <w:p>
            <w:pPr>
              <w:spacing w:after="20"/>
              <w:ind w:left="20"/>
              <w:jc w:val="both"/>
            </w:pPr>
            <w:r>
              <w:rPr>
                <w:rFonts w:ascii="Times New Roman"/>
                <w:b w:val="false"/>
                <w:i w:val="false"/>
                <w:color w:val="000000"/>
                <w:sz w:val="20"/>
              </w:rPr>
              <w:t>
СТБ ISO 11885-2011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Су ортасында пластмассалық материалдардың толық анаэробты биологиялық ыдырау қабілетін анықтау. Газ түзілуін өлшеу әдісі.</w:t>
            </w:r>
          </w:p>
          <w:p>
            <w:pPr>
              <w:spacing w:after="20"/>
              <w:ind w:left="20"/>
              <w:jc w:val="both"/>
            </w:pPr>
            <w:r>
              <w:rPr>
                <w:rFonts w:ascii="Times New Roman"/>
                <w:b w:val="false"/>
                <w:i w:val="false"/>
                <w:color w:val="000000"/>
                <w:sz w:val="20"/>
              </w:rPr>
              <w:t>
СТБ ISO 14853-2022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6.1-тармақшасы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13.030.99</w:t>
            </w:r>
          </w:p>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Қордалану қабілетін бағалау. Сынақ сызбасы және техникалық талаптар.</w:t>
            </w:r>
          </w:p>
          <w:p>
            <w:pPr>
              <w:spacing w:after="20"/>
              <w:ind w:left="20"/>
              <w:jc w:val="both"/>
            </w:pPr>
            <w:r>
              <w:rPr>
                <w:rFonts w:ascii="Times New Roman"/>
                <w:b w:val="false"/>
                <w:i w:val="false"/>
                <w:color w:val="000000"/>
                <w:sz w:val="20"/>
              </w:rPr>
              <w:t>
СТБ EN 14995-2020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6.3-тармақшасы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Қатты бөлшектердің жоғары мөлшері жағдайында анаэробты ашыту кезінде толық анаэробты биологиялық ыдырауын анықтау. Бөлінетін биогазды талдау әдісі.</w:t>
            </w:r>
          </w:p>
          <w:p>
            <w:pPr>
              <w:spacing w:after="20"/>
              <w:ind w:left="20"/>
              <w:jc w:val="both"/>
            </w:pPr>
            <w:r>
              <w:rPr>
                <w:rFonts w:ascii="Times New Roman"/>
                <w:b w:val="false"/>
                <w:i w:val="false"/>
                <w:color w:val="000000"/>
                <w:sz w:val="20"/>
              </w:rPr>
              <w:t>
СТБ ISO 15985-2022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6.1-тармақшасы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