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4f03" w14:textId="7064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шығатын және Еуразиялық экономикалық одақтың кедендік аумағына әкелінетін графиттелген электродтарға қатысты демпингке қарсы баж енгізу арқылы демпингке қарсы шараны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17 қарашадағы № 101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кедендік аумағына әкелінетін, диаметрі 520 мм-ден асатын, бірақ 650 мм-ден аспайтын дөңгелек қималы графиттелген, пештерде пайдаланылатын электродтарға немесе көлденең қимасының ауданы 2700 см²-ден асатын, бірақ 3300 см²-ден аспайтын өзге қималы электродтарға қатысты, Қытай Халық Республикасынан шыққан және ЕАЭО СЭҚ ТН 8545 11 002 0 коды бойынша жіктелетін тауарларға қосымша № 1-ге сәйкес мөлшерлерде демпингке қарсы баж енгізу арқылы демпингке қарсы шара қолданылсын, осы демпингке қарсы шараның қолданылу мерзімі 5 жыл болып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ЕАЭО СЭҚ ТН кодын басшылыққа ала отырып, осы Шешімде көзделген демпингке қарсы баждың алынуын қамтамасыз етсін.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комиссияның Ішкі нарықты қорғау департаментіне:</w:t>
      </w:r>
    </w:p>
    <w:bookmarkEnd w:id="3"/>
    <w:p>
      <w:pPr>
        <w:spacing w:after="0"/>
        <w:ind w:left="0"/>
        <w:jc w:val="both"/>
      </w:pPr>
      <w:r>
        <w:rPr>
          <w:rFonts w:ascii="Times New Roman"/>
          <w:b w:val="false"/>
          <w:i w:val="false"/>
          <w:color w:val="000000"/>
          <w:sz w:val="28"/>
        </w:rPr>
        <w:t xml:space="preserve">
      "Эл 6" жауапкершілігі шектеулі қоғамының диаметрі 520 мм-ден асатын, бірақ 650 мм-ден аспайтын графиттелген электродтарды Еуразиялық экономикалық одаққа мүше мемлекеттерге жеткізуді жоспарлау, келіссөздер жүргізу және жүзеге асыру жөнінде өзі ұсынған ұсынылатын тәсілдерді </w:t>
      </w:r>
      <w:r>
        <w:rPr>
          <w:rFonts w:ascii="Times New Roman"/>
          <w:b w:val="false"/>
          <w:i w:val="false"/>
          <w:color w:val="000000"/>
          <w:sz w:val="28"/>
        </w:rPr>
        <w:t>(№ 2 қосымшаға</w:t>
      </w:r>
      <w:r>
        <w:rPr>
          <w:rFonts w:ascii="Times New Roman"/>
          <w:b w:val="false"/>
          <w:i w:val="false"/>
          <w:color w:val="000000"/>
          <w:sz w:val="28"/>
        </w:rPr>
        <w:t xml:space="preserve"> сәйкес) (бұдан әрі – ұсынылатын тәсілдер) сақтауына мониторинг жүргізсін;</w:t>
      </w:r>
    </w:p>
    <w:p>
      <w:pPr>
        <w:spacing w:after="0"/>
        <w:ind w:left="0"/>
        <w:jc w:val="both"/>
      </w:pPr>
      <w:r>
        <w:rPr>
          <w:rFonts w:ascii="Times New Roman"/>
          <w:b w:val="false"/>
          <w:i w:val="false"/>
          <w:color w:val="000000"/>
          <w:sz w:val="28"/>
        </w:rPr>
        <w:t xml:space="preserve">
      "Эл 6" жауапкершілігі шектеулі қоғамы ұсынылатын тәсілдерді сақтамаған жағдайда, Хаттаманың </w:t>
      </w:r>
      <w:r>
        <w:rPr>
          <w:rFonts w:ascii="Times New Roman"/>
          <w:b w:val="false"/>
          <w:i w:val="false"/>
          <w:color w:val="000000"/>
          <w:sz w:val="28"/>
        </w:rPr>
        <w:t>110-тармағына</w:t>
      </w:r>
      <w:r>
        <w:rPr>
          <w:rFonts w:ascii="Times New Roman"/>
          <w:b w:val="false"/>
          <w:i w:val="false"/>
          <w:color w:val="000000"/>
          <w:sz w:val="28"/>
        </w:rPr>
        <w:t xml:space="preserve"> сәйкес демпингке қарсы қайта тергеп-тексеру жүргізу мәселесін қарастырсын.</w:t>
      </w:r>
    </w:p>
    <w:bookmarkStart w:name="z5" w:id="4"/>
    <w:p>
      <w:pPr>
        <w:spacing w:after="0"/>
        <w:ind w:left="0"/>
        <w:jc w:val="both"/>
      </w:pPr>
      <w:r>
        <w:rPr>
          <w:rFonts w:ascii="Times New Roman"/>
          <w:b w:val="false"/>
          <w:i w:val="false"/>
          <w:color w:val="000000"/>
          <w:sz w:val="28"/>
        </w:rPr>
        <w:t>
      4. Осы Шешім ресми жарияланған күнінен бастап 30 күнтізбелік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17 қарашадағы </w:t>
            </w:r>
            <w:r>
              <w:br/>
            </w:r>
            <w:r>
              <w:rPr>
                <w:rFonts w:ascii="Times New Roman"/>
                <w:b w:val="false"/>
                <w:i w:val="false"/>
                <w:color w:val="000000"/>
                <w:sz w:val="20"/>
              </w:rPr>
              <w:t xml:space="preserve">№ 101 шешіміне </w:t>
            </w:r>
            <w:r>
              <w:br/>
            </w:r>
            <w:r>
              <w:rPr>
                <w:rFonts w:ascii="Times New Roman"/>
                <w:b w:val="false"/>
                <w:i w:val="false"/>
                <w:color w:val="000000"/>
                <w:sz w:val="20"/>
              </w:rPr>
              <w:t>№ 1 ҚОСЫМША</w:t>
            </w:r>
          </w:p>
        </w:tc>
      </w:tr>
    </w:tbl>
    <w:bookmarkStart w:name="z7" w:id="5"/>
    <w:p>
      <w:pPr>
        <w:spacing w:after="0"/>
        <w:ind w:left="0"/>
        <w:jc w:val="left"/>
      </w:pPr>
      <w:r>
        <w:rPr>
          <w:rFonts w:ascii="Times New Roman"/>
          <w:b/>
          <w:i w:val="false"/>
          <w:color w:val="000000"/>
        </w:rPr>
        <w:t xml:space="preserve"> Демпингке қарсы баж СТАВКАСЫНЫҢ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 (кедендік құннан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2025 жылғы 17 қарашадағы № 101 шешімінің 1-тармағында көрсетілген графиттелген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Jilin Carbon Company Ltd. (заңды мекен-жайы: </w:t>
            </w:r>
          </w:p>
          <w:p>
            <w:pPr>
              <w:spacing w:after="20"/>
              <w:ind w:left="20"/>
              <w:jc w:val="both"/>
            </w:pPr>
            <w:r>
              <w:rPr>
                <w:rFonts w:ascii="Times New Roman"/>
                <w:b w:val="false"/>
                <w:i w:val="false"/>
                <w:color w:val="000000"/>
                <w:sz w:val="20"/>
              </w:rPr>
              <w:t xml:space="preserve">9 Heping Street, Jilin City, Jilin Province, China) Jimeng Carbon Co., Ltd. (заңды мекен-жайы: </w:t>
            </w:r>
          </w:p>
          <w:p>
            <w:pPr>
              <w:spacing w:after="20"/>
              <w:ind w:left="20"/>
              <w:jc w:val="both"/>
            </w:pPr>
            <w:r>
              <w:rPr>
                <w:rFonts w:ascii="Times New Roman"/>
                <w:b w:val="false"/>
                <w:i w:val="false"/>
                <w:color w:val="000000"/>
                <w:sz w:val="20"/>
              </w:rPr>
              <w:t>Fluorinated Industrial Zone, Fengzhen City, Wulanchabu City, Inner Mongolia Autonomous Region,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Fangda Carbon New Material Co., Ltd.</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No.11 Carbon Road, Haishiwan Town, Honggu District, Lanzhou City, Gansu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Jiangsu Jianglong New Energy Technology Co., Ltd. (заңды мекен-жайы: </w:t>
            </w:r>
          </w:p>
          <w:p>
            <w:pPr>
              <w:spacing w:after="20"/>
              <w:ind w:left="20"/>
              <w:jc w:val="both"/>
            </w:pPr>
            <w:r>
              <w:rPr>
                <w:rFonts w:ascii="Times New Roman"/>
                <w:b w:val="false"/>
                <w:i w:val="false"/>
                <w:color w:val="000000"/>
                <w:sz w:val="20"/>
              </w:rPr>
              <w:t>No.8 Industrial Avenue Yangtun Town, Pei County, Jiangsu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Anshan Carbon Co., Ltd. (заңды мекен-жайы: </w:t>
            </w:r>
          </w:p>
          <w:p>
            <w:pPr>
              <w:spacing w:after="20"/>
              <w:ind w:left="20"/>
              <w:jc w:val="both"/>
            </w:pPr>
            <w:r>
              <w:rPr>
                <w:rFonts w:ascii="Times New Roman"/>
                <w:b w:val="false"/>
                <w:i w:val="false"/>
                <w:color w:val="000000"/>
                <w:sz w:val="20"/>
              </w:rPr>
              <w:t xml:space="preserve">Ben Street, Xinkaihe Town, Tai'an County, Anshan City, Liaoning Province, China)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Yingkou Deyuan Carbon Co., Ltd. (заңды мекен-жайы: </w:t>
            </w:r>
          </w:p>
          <w:p>
            <w:pPr>
              <w:spacing w:after="20"/>
              <w:ind w:left="20"/>
              <w:jc w:val="both"/>
            </w:pPr>
            <w:r>
              <w:rPr>
                <w:rFonts w:ascii="Times New Roman"/>
                <w:b w:val="false"/>
                <w:i w:val="false"/>
                <w:color w:val="000000"/>
                <w:sz w:val="20"/>
              </w:rPr>
              <w:t>Chenjiacun, Nanlou Economic Development Zone, Yingkou, Liaoning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Liaoning Dantan New Materials Co., Ltd. (заңды мекен-жайы: </w:t>
            </w:r>
          </w:p>
          <w:p>
            <w:pPr>
              <w:spacing w:after="20"/>
              <w:ind w:left="20"/>
              <w:jc w:val="both"/>
            </w:pPr>
            <w:r>
              <w:rPr>
                <w:rFonts w:ascii="Times New Roman"/>
                <w:b w:val="false"/>
                <w:i w:val="false"/>
                <w:color w:val="000000"/>
                <w:sz w:val="20"/>
              </w:rPr>
              <w:t>Zhangjiagou, Dixiongshan Town, Fengcheng City, Dandong, Liaoning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17 қарашадағы </w:t>
            </w:r>
            <w:r>
              <w:br/>
            </w:r>
            <w:r>
              <w:rPr>
                <w:rFonts w:ascii="Times New Roman"/>
                <w:b w:val="false"/>
                <w:i w:val="false"/>
                <w:color w:val="000000"/>
                <w:sz w:val="20"/>
              </w:rPr>
              <w:t xml:space="preserve">№ 101 шешіміне </w:t>
            </w:r>
            <w:r>
              <w:br/>
            </w:r>
            <w:r>
              <w:rPr>
                <w:rFonts w:ascii="Times New Roman"/>
                <w:b w:val="false"/>
                <w:i w:val="false"/>
                <w:color w:val="000000"/>
                <w:sz w:val="20"/>
              </w:rPr>
              <w:t>№ 2 ҚОСЫМША</w:t>
            </w:r>
          </w:p>
        </w:tc>
      </w:tr>
    </w:tbl>
    <w:bookmarkStart w:name="z9" w:id="6"/>
    <w:p>
      <w:pPr>
        <w:spacing w:after="0"/>
        <w:ind w:left="0"/>
        <w:jc w:val="left"/>
      </w:pPr>
      <w:r>
        <w:rPr>
          <w:rFonts w:ascii="Times New Roman"/>
          <w:b/>
          <w:i w:val="false"/>
          <w:color w:val="000000"/>
        </w:rPr>
        <w:t xml:space="preserve"> Диаметрі 520 мм-ден асатын, бірақ 650 мм-ден аспайтын графиттелген электродтарды Еуразиялық экономикалық одаққа мүше мемлекеттерге жеткізуді жоспарлау, келіссөздер жүргізу және жүзеге асыру жөніндегі ҰСЫНЫЛАТЫН ТӘСІЛДЕР</w:t>
      </w:r>
    </w:p>
    <w:bookmarkEnd w:id="6"/>
    <w:bookmarkStart w:name="z10" w:id="7"/>
    <w:p>
      <w:pPr>
        <w:spacing w:after="0"/>
        <w:ind w:left="0"/>
        <w:jc w:val="both"/>
      </w:pPr>
      <w:r>
        <w:rPr>
          <w:rFonts w:ascii="Times New Roman"/>
          <w:b w:val="false"/>
          <w:i w:val="false"/>
          <w:color w:val="000000"/>
          <w:sz w:val="28"/>
        </w:rPr>
        <w:t>
      1. Еуразиялық экономикалық одаққа мүше мемлекеттердегі тұтынушылармен диаметрі 520 мм-ден асатын, бірақ 650 мм-ден аспайтын графиттелген электродтарды (бұдан әрі – графиттелген электродтар) жеткізу бойынша міндеттемелердің туындауына қатысты келіссөздер жүргізу және (немесе) бұрын басталған келіссөздерді жалғастыру, 2026 – 2030 жылдар кезеңінде қолданылатын, 3 жылдан 5 жылға дейінгі мерзімге ұзақ мерзімді негізде формулалық баға белгілеуді қолдана отырып жүзеге асырылады.</w:t>
      </w:r>
    </w:p>
    <w:bookmarkEnd w:id="7"/>
    <w:bookmarkStart w:name="z11" w:id="8"/>
    <w:p>
      <w:pPr>
        <w:spacing w:after="0"/>
        <w:ind w:left="0"/>
        <w:jc w:val="both"/>
      </w:pPr>
      <w:r>
        <w:rPr>
          <w:rFonts w:ascii="Times New Roman"/>
          <w:b w:val="false"/>
          <w:i w:val="false"/>
          <w:color w:val="000000"/>
          <w:sz w:val="28"/>
        </w:rPr>
        <w:t>
      2. Графиттелген электродтарға қатысты ашық, бәсекелестікке негізделген және негізделген баға белгілеу қағидаттарын сақтау, оның ішінде графиттелген электродтардың бағасының ашық аналитикалық көздерде жарияланатын графиттелген электродтар мен шикізатқа арналған баға котировкаларының өзгеру динамикасына тәуелділігін көздейтін формулалық баға белгілеу тетіктерін қолдану арқылы, Еуразиялық экономикалық одаққа мүше мемлекеттердегі тұтынушыларға тікелей жеткізу кезінде қамтамасыз етіледі.</w:t>
      </w:r>
    </w:p>
    <w:bookmarkEnd w:id="8"/>
    <w:bookmarkStart w:name="z12" w:id="9"/>
    <w:p>
      <w:pPr>
        <w:spacing w:after="0"/>
        <w:ind w:left="0"/>
        <w:jc w:val="both"/>
      </w:pPr>
      <w:r>
        <w:rPr>
          <w:rFonts w:ascii="Times New Roman"/>
          <w:b w:val="false"/>
          <w:i w:val="false"/>
          <w:color w:val="000000"/>
          <w:sz w:val="28"/>
        </w:rPr>
        <w:t>
      3. Еуразиялық экономикалық одаққа мүше мемлекеттердегі тұтынушылардың өтінімдеріне сәйкес, графиттелген электродтарды тұтынушыларға тікелей үздіксіз жеткізу, сондай-ақ келісілген міндеттемелердің шарттарына қатаң сәйкес қамтамасыз етіледі.</w:t>
      </w:r>
    </w:p>
    <w:bookmarkEnd w:id="9"/>
    <w:bookmarkStart w:name="z13" w:id="10"/>
    <w:p>
      <w:pPr>
        <w:spacing w:after="0"/>
        <w:ind w:left="0"/>
        <w:jc w:val="both"/>
      </w:pPr>
      <w:r>
        <w:rPr>
          <w:rFonts w:ascii="Times New Roman"/>
          <w:b w:val="false"/>
          <w:i w:val="false"/>
          <w:color w:val="000000"/>
          <w:sz w:val="28"/>
        </w:rPr>
        <w:t>
      4. Еуразиялық экономикалық одаққа мүше мемлекеттердегі тұтынушылармен жасалған ұзақ мерзімді келісімшарттарға сәйкес графиттелген электродтарды жеткізуге басымдық беру, формулалық баға белгілеуді қолдану арқылы, Еуразиялық экономикалық одақ нарығына споттық (қысқа мерзімді, бір реттік) жеткізілімдерге қарамастан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