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21eb" w14:textId="4e22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 электр құралдарын өндіруге арналған жиынтықтауыштардың жекелеген түрлеріне қатысты Еуразиялық экономикалық одақтың Бірыңғай кедендік тарифінің кедендік әкелу баждарының ставкаларын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2025 жылғы 17 маусымдағы № 55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8483 40 230 2, 8536 50 800 2 және 8545 20 000 1 кодтарымен сыныпталатын қол электр құралдарын өндіруге арналған жиынтықтауыштардың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баждарының ставкалары осы Шешім күшіне енген күннен бастап қоса алғанда 2029 жылғы 31 желтоқсанға дейін кедендік құнның 0 пайызы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8483 40 230 2, 8536 50 800 2 және 8545 20 000 1 кодтары бар позициялардағы Еуразиялық экономикалық одақтың Бірыңғай кедендік тарифіне ескертпеге "</w:t>
      </w:r>
      <w:r>
        <w:rPr>
          <w:rFonts w:ascii="Times New Roman"/>
          <w:b w:val="false"/>
          <w:i w:val="false"/>
          <w:color w:val="000000"/>
          <w:vertAlign w:val="superscript"/>
        </w:rPr>
        <w:t>69С)</w:t>
      </w:r>
      <w:r>
        <w:rPr>
          <w:rFonts w:ascii="Times New Roman"/>
          <w:b w:val="false"/>
          <w:i w:val="false"/>
          <w:color w:val="000000"/>
          <w:sz w:val="28"/>
        </w:rPr>
        <w:t>" сілтемесі "</w:t>
      </w:r>
      <w:r>
        <w:rPr>
          <w:rFonts w:ascii="Times New Roman"/>
          <w:b w:val="false"/>
          <w:i w:val="false"/>
          <w:color w:val="000000"/>
          <w:vertAlign w:val="superscript"/>
        </w:rPr>
        <w:t>90С)</w:t>
      </w:r>
      <w:r>
        <w:rPr>
          <w:rFonts w:ascii="Times New Roman"/>
          <w:b w:val="false"/>
          <w:i w:val="false"/>
          <w:color w:val="000000"/>
          <w:sz w:val="28"/>
        </w:rPr>
        <w:t>"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ескертпелерде:</w:t>
      </w:r>
    </w:p>
    <w:bookmarkEnd w:id="4"/>
    <w:bookmarkStart w:name="z6" w:id="5"/>
    <w:p>
      <w:pPr>
        <w:spacing w:after="0"/>
        <w:ind w:left="0"/>
        <w:jc w:val="both"/>
      </w:pPr>
      <w:r>
        <w:rPr>
          <w:rFonts w:ascii="Times New Roman"/>
          <w:b w:val="false"/>
          <w:i w:val="false"/>
          <w:color w:val="000000"/>
          <w:sz w:val="28"/>
        </w:rPr>
        <w:t>
      69С ескертпесінің күші жойылды деп танылсын;</w:t>
      </w:r>
    </w:p>
    <w:bookmarkEnd w:id="5"/>
    <w:bookmarkStart w:name="z7" w:id="6"/>
    <w:p>
      <w:pPr>
        <w:spacing w:after="0"/>
        <w:ind w:left="0"/>
        <w:jc w:val="both"/>
      </w:pPr>
      <w:r>
        <w:rPr>
          <w:rFonts w:ascii="Times New Roman"/>
          <w:b w:val="false"/>
          <w:i w:val="false"/>
          <w:color w:val="000000"/>
          <w:sz w:val="28"/>
        </w:rPr>
        <w:t>
      мынадай мазмұндағы 90С ескертпемен толықтырылсын:</w:t>
      </w:r>
    </w:p>
    <w:bookmarkEnd w:id="6"/>
    <w:bookmarkStart w:name="z8" w:id="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90С)</w:t>
      </w:r>
      <w:r>
        <w:rPr>
          <w:rFonts w:ascii="Times New Roman"/>
          <w:b w:val="false"/>
          <w:i w:val="false"/>
          <w:color w:val="000000"/>
          <w:sz w:val="28"/>
        </w:rPr>
        <w:t> Кедендік құнның 0 (нөл) % мөлшеріндегі кедендік әкелу бажының ставкасы Еуразиялық экономикалық комиссия Алқасының 2025 жылғы 17 маусымдағы № 55 шешімі күшіне енген күннен бастап қоса алғанда 31.12.2029 дейін қолданылады.".</w:t>
      </w:r>
    </w:p>
    <w:bookmarkEnd w:id="7"/>
    <w:bookmarkStart w:name="z9" w:id="8"/>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Қазақстан Республикасы Дүниежүзілік сауда ұйымына қосылу шарты ретінде қабылдаған міндеттемелерге сәйкес оларға қатысты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 қолданылатын тауарлардың тізбесіне және қол электр құралдарын өндіруге арналған ажыратқыштарға қатысты осындай баж ставкаларының мөлшеріне өзгеріс енгізу туралы Еуразиялық экономикалық комиссия Кеңесінің шешімі күшіне енген күннен ерте емес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