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bf24" w14:textId="f37b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7 ақпандағы № 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17 маусымдағы № 54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"Ерікті негізде қолданылуы нәтижесінде Кеден одағының "Тағамдық қоспалар, хош иістендіргіштер және технологиялық қосалқы құралдардың қауіпсіздік талаптары" (КО ТР 029/2012)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халықаралық және өңірлік (мемлекетаралық) стандарттардың, ал олар болмаған жағдайда – зерттеулер (сынақтар) мен өлшеулердің қағидалары мен әдістерін, оның ішінде Кеден одағының "Тағамдық қоспалар, хош иістендіргіштер және технологиялық қосалқы құралдардың қауіпсіздік талаптары" (КО ТР 029/2012)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 туралы"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180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2018 жылғы 7 ақпандағы № 21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Шешіммен бекітілген ерікті негізде қолданылуы нәтижесінде Кеден одағының "Тағамдық қоспалар, хош иістендіргіштер және технологиялық қосалқы құралдардың қауіпсіздік талаптары" (КО ТР 029/2012)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3.1.5 және 3.1.6-тармақтар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21205-2024 "Тағамдық қоспалар. Шарап қышқылы L(+) Е334.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16 позиция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50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позициямен толықтырылсын: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3.1.4 және 3.1.5-тармақтар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35048-2023 "Тағамдық қоспалар. Мұзды сірке қышқылы E260.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халықаралық және өңірлік (мемлекетаралық) стандарттардың, ал олар болмаған жағдайда – зерттеулер (сынақтар) мен өлшеулердің қағидалары мен әдістерін, оның ішінде Кеден одағының "Тағамдық қоспалар, хош иістендіргіштер және технологиялық қосалқы құралдардың қауіпсіздік талаптары" (КО ТР 029/2012)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 мынадай мазмұндағы 77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позициямен толықтырылсын: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ISO 23443-2023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Ерте жастағы балаларды қолдан қоректендіру үшін бейімделген қоспалар және ересектердің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энтераль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 тамақтануына арналған қоспалар. Қайтарымды-фазалық ультра жоғары тиімді сұйықтық хроматография (ҚФ-УЖТСХ) көмегімен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-каротинді, ликопинді және лютеинді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