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bf24" w14:textId="f37b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2018 жылғы 7 ақпандағы № 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17 маусымдағы № 54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"Ерікті негізде қолданылуы нәтижесінде Кеден одағының "Тағамдық қоспалар, хош иістендіргіштер және технологиялық қосалқы құралдардың қауіпсіздік талаптары" (КО ТР 029/2012)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 және халықаралық және өңірлік (мемлекетаралық) стандарттардың, ал олар болмаған жағдайда – зерттеулер (сынақтар) мен өлшеулердің қағидалары мен әдістерін, оның ішінде Кеден одағының "Тағамдық қоспалар, хош иістендіргіштер және технологиялық қосалқы құралдардың қауіпсіздік талаптары" (КО ТР 029/2012)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стандарттардың тізбесі туралы"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180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2018 жылғы 7 ақпандағы № 21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Көрсетілген Шешіммен бекітілген ерікті негізде қолданылуы нәтижесінде Кеден одағының "Тағамдық қоспалар, хош иістендіргіштер және технологиялық қосалқы құралдардың қауіпсіздік талаптары" (КО ТР 029/2012)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тізбесінде: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мынадай мазмұндағы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позициямен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3.1.5 және 3.1.6-тармақтар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21205-2024 "Тағамдық қоспалар. Шарап қышқылы L(+) Е334.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16 позиция алып тасталсын;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мынадай мазмұндағы 50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позициямен толықтырылсын: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3.1.4 және 3.1.5-тармақтар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35048-2023 "Тағамдық қоспалар. Мұзды сірке қышқылы E260.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Шешіммен бекітілген халықаралық және өңірлік (мемлекетаралық) стандарттардың, ал олар болмаған жағдайда – зерттеулер (сынақтар) мен өлшеулердің қағидалары мен әдістерін, оның ішінде Кеден одағының "Тағамдық қоспалар, хош иістендіргіштер және технологиялық қосалқы құралдардың қауіпсіздік талаптары" (КО ТР 029/2012)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стандарттардың тізбесі мынадай мазмұндағы 77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позициямен толықтырылсын: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 ISO 23443-2023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Ерте жастағы балаларды қолдан қоректендіру үшін бейімделген қоспалар және ересектердің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энтераль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 тамақтануына арналған қоспалар. Қайтарымды-фазалық ультра жоғары тиімді сұйықтық хроматография (ҚФ-УЖТСХ) көмегімен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-каротинді, ликопинді және лютеинді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