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339d" w14:textId="2d43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қабылдаған, Тауарларды сыныптау туралы алдын ала шешімдерден ақпаратты Еуразиялық экономикалық комиссияға жіберу тәртібінің 11-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0 мамырдағы № 45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2 жығы 15 қарашадағы № 172 шешімімен бекітілген Еуразиялық экономикалық одаққа мүше мемлекеттердің органдары қабылдаған, Тауарларды сыныптау туралы алдын ала шешімдерден ақпаратты Еуразиялық экономикалық комиссияға жіберу тәртібіні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11. Алдын ала шешімді кері қайтарып алған немесе осындай шешімнің қолданылуын тоқтату туралы шешім қабылданған жағдайда бұл туралы ақпаратты тиісті кеден органы ресми сайттағы ақпаратты өзектендіру үшін осындай шешімді кері қайтарып алу немесе қолданылуын тоқтату туралы шешім қабылданған күннен бастап 5 жұмыс күнінен кешіктірмей Комиссияға автоматты режимде береді.".</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