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e46b" w14:textId="d40e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"Тасымалдауға және (немесе) пайдалануға дайындалған жанғыш табиғи газдың қауіпсіздігі туралы" техникалық регламентінің (ЕАЭО ТР 046/2018)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2025 жылғы 22 сәуірдегі № 39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2-қосымшаның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"Тасымалдауға және (немесе) пайдалануға дайындалған жанғыш табиғи газдың қауіпсіздігі туралы" техникалық регламентінің (ТР ЕАЭС 046/2018)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"Еуразиялық экономикалық одақтың "Тасымалдауға және (немесе) пайдалануға дайындалған жанғыш табиғи газдың қауіпсіздігі туралы" техникалық регламентінің (ТР ЕАЭС 046/2018)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 туралы" 2022 жылғы 17 мамырдағы № 81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22 сәуірдегі </w:t>
            </w:r>
            <w:r>
              <w:br/>
            </w:r>
            <w:r>
              <w:rPr>
                <w:rFonts w:ascii="Times New Roman"/>
                <w:b w:val="false"/>
                <w:i w:val="false"/>
                <w:color w:val="000000"/>
                <w:sz w:val="20"/>
              </w:rPr>
              <w:t xml:space="preserve">№ 39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одақтың "Тасымалдауға және (немесе) пайдалануға дайындалған жанғыш табиғи газдың қауіпсіздігі туралы" техникалық регламентінің (ЕАЭО ТР 046/2018)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МКС/МТК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w:t>
            </w:r>
            <w:r>
              <w:rPr>
                <w:rFonts w:ascii="Times New Roman"/>
                <w:b w:val="false"/>
                <w:i w:val="false"/>
                <w:color w:val="000000"/>
                <w:sz w:val="20"/>
              </w:rPr>
              <w:t xml:space="preserve"> </w:t>
            </w:r>
            <w:r>
              <w:rPr>
                <w:rFonts w:ascii="Times New Roman"/>
                <w:b/>
                <w:i w:val="false"/>
                <w:color w:val="000000"/>
                <w:sz w:val="20"/>
              </w:rPr>
              <w:t>стандарт</w:t>
            </w:r>
            <w:r>
              <w:rPr>
                <w:rFonts w:ascii="Times New Roman"/>
                <w:b w:val="false"/>
                <w:i w:val="false"/>
                <w:color w:val="000000"/>
                <w:sz w:val="20"/>
              </w:rPr>
              <w:t xml:space="preserve"> </w:t>
            </w:r>
            <w:r>
              <w:rPr>
                <w:rFonts w:ascii="Times New Roman"/>
                <w:b/>
                <w:i w:val="false"/>
                <w:color w:val="000000"/>
                <w:sz w:val="20"/>
              </w:rPr>
              <w:t>жобасының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одақтың</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регламентінің</w:t>
            </w:r>
            <w:r>
              <w:rPr>
                <w:rFonts w:ascii="Times New Roman"/>
                <w:b w:val="false"/>
                <w:i w:val="false"/>
                <w:color w:val="000000"/>
                <w:sz w:val="20"/>
              </w:rPr>
              <w:t xml:space="preserve"> </w:t>
            </w:r>
            <w:r>
              <w:rPr>
                <w:rFonts w:ascii="Times New Roman"/>
                <w:b/>
                <w:i w:val="false"/>
                <w:color w:val="000000"/>
                <w:sz w:val="20"/>
              </w:rPr>
              <w:t>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i w:val="false"/>
                <w:color w:val="000000"/>
                <w:sz w:val="20"/>
              </w:rPr>
              <w:t xml:space="preserve"> одаққа </w:t>
            </w:r>
            <w:r>
              <w:rPr>
                <w:rFonts w:ascii="Times New Roman"/>
                <w:b/>
                <w:i w:val="false"/>
                <w:color w:val="000000"/>
                <w:sz w:val="20"/>
              </w:rPr>
              <w:t>мүше</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әзірлеуші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МТК-мен </w:t>
            </w:r>
            <w:r>
              <w:rPr>
                <w:rFonts w:ascii="Times New Roman"/>
                <w:b/>
                <w:i w:val="false"/>
                <w:color w:val="000000"/>
                <w:sz w:val="20"/>
              </w:rPr>
              <w:t>келісу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052.RU.1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Газ хроматографиясының құрамын белгісіздікті бағалау арқылы анықтау. 3 бөлім. Дәлдік және орын ауыстыру. МемСТ 31371.3-2008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4 қосымшалар, көрсеткіштер: "компоненттердің молярлық үлесі (компоненттік құрам)"; "оттегінің молярлық үлесі"; "көміртегі диоксидінің молярлық үлесі"; "метанның молярлық үлесі"; "азоттың молярлық үлесі"; "жанбайтын компоненттердің молярлық үлесі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052.RU.2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 Газ хроматографиясының құрамын белгісіздікті бағалау арқылы анықтау. 4 бөлім. Анализатордың тиімділігіне қойылатын талаптар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4 қосымшалар, көрсеткіштер: "компоненттердің молярлық үлесі (компоненттік құрам)";</w:t>
            </w:r>
          </w:p>
          <w:p>
            <w:pPr>
              <w:spacing w:after="20"/>
              <w:ind w:left="20"/>
              <w:jc w:val="both"/>
            </w:pPr>
            <w:r>
              <w:rPr>
                <w:rFonts w:ascii="Times New Roman"/>
                <w:b w:val="false"/>
                <w:i w:val="false"/>
                <w:color w:val="000000"/>
                <w:sz w:val="20"/>
              </w:rPr>
              <w:t>
"оттегі диоксидінің молярлық үлесі";</w:t>
            </w:r>
          </w:p>
          <w:p>
            <w:pPr>
              <w:spacing w:after="20"/>
              <w:ind w:left="20"/>
              <w:jc w:val="both"/>
            </w:pPr>
            <w:r>
              <w:rPr>
                <w:rFonts w:ascii="Times New Roman"/>
                <w:b w:val="false"/>
                <w:i w:val="false"/>
                <w:color w:val="000000"/>
                <w:sz w:val="20"/>
              </w:rPr>
              <w:t>
"көміртегі диоксидінің молярлық үлесі"; "метанның молярлық үлесі"; "азоттың молярлық үлесі"; "жанбайтын компоненттердің молярлық үлесі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052.RU.3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Белгісіздікті бағалай отырып, газ хроматографиясы әдісімен құрамды анықтау. 7 бөлім. Компоненттердің молярлық үлесін өлшеу әдістемесі. МемСТ 31371.7-2020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4 қосымшалар, көрсеткіштер: "компоненттердің молярлық үлесі (компоненттік құрам)";</w:t>
            </w:r>
          </w:p>
          <w:p>
            <w:pPr>
              <w:spacing w:after="20"/>
              <w:ind w:left="20"/>
              <w:jc w:val="both"/>
            </w:pPr>
            <w:r>
              <w:rPr>
                <w:rFonts w:ascii="Times New Roman"/>
                <w:b w:val="false"/>
                <w:i w:val="false"/>
                <w:color w:val="000000"/>
                <w:sz w:val="20"/>
              </w:rPr>
              <w:t>
"оттегі диоксидінің молярлық үлесі";</w:t>
            </w:r>
          </w:p>
          <w:p>
            <w:pPr>
              <w:spacing w:after="20"/>
              <w:ind w:left="20"/>
              <w:jc w:val="both"/>
            </w:pPr>
            <w:r>
              <w:rPr>
                <w:rFonts w:ascii="Times New Roman"/>
                <w:b w:val="false"/>
                <w:i w:val="false"/>
                <w:color w:val="000000"/>
                <w:sz w:val="20"/>
              </w:rPr>
              <w:t>
"көміртегі диоксидінің молярлық үлесі"; "метанның молярлық үлесі"; "азоттың молярлық үлесі"; "жанбайтын компоненттердің молярлық үлесі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052.RU.4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сұйытылған газ. Газ хроматографиясы әдісімен компоненттік құрамды анықтау.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 4 қосымша, көрсеткіштер: </w:t>
            </w:r>
          </w:p>
          <w:p>
            <w:pPr>
              <w:spacing w:after="20"/>
              <w:ind w:left="20"/>
              <w:jc w:val="both"/>
            </w:pPr>
            <w:r>
              <w:rPr>
                <w:rFonts w:ascii="Times New Roman"/>
                <w:b w:val="false"/>
                <w:i w:val="false"/>
                <w:color w:val="000000"/>
                <w:sz w:val="20"/>
              </w:rPr>
              <w:t>
"компоненттердің молярлық үлесі (компоненттік құрам)";</w:t>
            </w:r>
          </w:p>
          <w:p>
            <w:pPr>
              <w:spacing w:after="20"/>
              <w:ind w:left="20"/>
              <w:jc w:val="both"/>
            </w:pPr>
            <w:r>
              <w:rPr>
                <w:rFonts w:ascii="Times New Roman"/>
                <w:b w:val="false"/>
                <w:i w:val="false"/>
                <w:color w:val="000000"/>
                <w:sz w:val="20"/>
              </w:rPr>
              <w:t>
"метанның молярлық үлесі"; "азоттың молярлық үлесі"; "көміртегі диоксидінің молярлық үлесі";"оттегі диоксидінің молярлық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