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e46b" w14:textId="d40e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"Тасымалдауға және (немесе) пайдалануға дайындалған жанғыш табиғи газдың қауіпсіздігі туралы" техникалық регламентінің (ЕАЭО ТР 046/2018) талаптарын қолдану және орындау және техникалық реттеу объектілерінің осы техникалық регламенттің талаптарына сәйкестігін бағалауды жүзеге асыру үшін қажетті зерттеулердің (сынақтардың) және өлшеулердің қағидалары мен әдістерін, оның ішінде үлгілерді іріктеу қағидаларын қамтитын мемлекетаралық стандарттарды әзірлеу (өзгерістер енгізу, қайта қарау) жөніндегі бағдарлама туралы</w:t>
      </w:r>
    </w:p>
    <w:p>
      <w:pPr>
        <w:spacing w:after="0"/>
        <w:ind w:left="0"/>
        <w:jc w:val="both"/>
      </w:pPr>
      <w:r>
        <w:rPr>
          <w:rFonts w:ascii="Times New Roman"/>
          <w:b w:val="false"/>
          <w:i w:val="false"/>
          <w:color w:val="000000"/>
          <w:sz w:val="28"/>
        </w:rPr>
        <w:t>Еуразиялық экономикалық комиссия Алқасының 2025 жылғы 22 сәуірдегі № 39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51-бабы</w:t>
      </w:r>
      <w:r>
        <w:rPr>
          <w:rFonts w:ascii="Times New Roman"/>
          <w:b w:val="false"/>
          <w:i w:val="false"/>
          <w:color w:val="000000"/>
          <w:sz w:val="28"/>
        </w:rPr>
        <w:t xml:space="preserve"> 1-тармағының 11 және 12-тармақшаларына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2-қосымшаның 7-тармағына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"Тасымалдауға және (немесе) пайдалануға дайындалған жанғыш табиғи газдың қауіпсіздігі туралы" техникалық регламентінің (ТР ЕАЭС 046/2018) талаптарын қолдану және орындау және техникалық реттеу объектілерінің осы техникалық регламенттің талаптарына сәйкестігін бағалауды жүзеге асыру үшін қажетті зерттеулердің (сынақтардың) және өлшеулердің қағидалары мен әдістерін, оның ішінде үлгілерді іріктеу қағидаларын қамтитын мемлекетаралық стандарттарды әзірлеу (өзгерістер енгізу, қайта қарау) жөніндегі </w:t>
      </w:r>
      <w:r>
        <w:rPr>
          <w:rFonts w:ascii="Times New Roman"/>
          <w:b w:val="false"/>
          <w:i w:val="false"/>
          <w:color w:val="000000"/>
          <w:sz w:val="28"/>
        </w:rPr>
        <w:t>бағдарлама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Еуразиялық экономикалық комиссия Алқасының "Еуразиялық экономикалық одақтың "Тасымалдауға және (немесе) пайдалануға дайындалған жанғыш табиғи газдың қауіпсіздігі туралы" техникалық регламентінің (ТР ЕАЭС 046/2018) талаптарын қолдану және орындау және техникалық реттеу объектілерінің осы техникалық регламенттің талаптарына сәйкестігін бағалауды жүзеге асыру үшін қажетті зерттеулердің (сынақтардың) және өлшеулердің қағидалары мен әдістерін, оның ішінде үлгілерді іріктеу қағидаларын қамтитын мемлекетаралық стандарттарды әзірлеу (өзгерістер енгізу, қайта қарау) жөніндегі бағдарлама туралы" 2022 жылғы 17 мамырдағы № 81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22 сәуірдегі </w:t>
            </w:r>
            <w:r>
              <w:br/>
            </w:r>
            <w:r>
              <w:rPr>
                <w:rFonts w:ascii="Times New Roman"/>
                <w:b w:val="false"/>
                <w:i w:val="false"/>
                <w:color w:val="000000"/>
                <w:sz w:val="20"/>
              </w:rPr>
              <w:t xml:space="preserve">№ 39 шешімімен </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Еуразиялық экономикалық одақтың "Тасымалдауға және (немесе) пайдалануға дайындалған жанғыш табиғи газдың қауіпсіздігі туралы" техникалық регламентінің (ЕАЭО ТР 046/2018) талаптарын қолдану және орындау және техникалық реттеу объектілерінің осы техникалық регламенттің талаптарына сәйкестігін бағалауды жүзеге асыру үшін қажетті зерттеулердің (сынақтардың) және өлшеулердің қағидалары мен әдістерін, оның ішінде үлгілерді іріктеу қағидаларын қамтитын мемлекетаралық стандарттарды әзірлеу (өзгерістер енгізу, қайта қарау) жөніндегі БАҒДАРЛАМА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МКС/МТК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Мемлекетаралық</w:t>
            </w:r>
            <w:r>
              <w:rPr>
                <w:rFonts w:ascii="Times New Roman"/>
                <w:b w:val="false"/>
                <w:i w:val="false"/>
                <w:color w:val="000000"/>
                <w:sz w:val="20"/>
              </w:rPr>
              <w:t xml:space="preserve"> </w:t>
            </w:r>
            <w:r>
              <w:rPr>
                <w:rFonts w:ascii="Times New Roman"/>
                <w:b/>
                <w:i w:val="false"/>
                <w:color w:val="000000"/>
                <w:sz w:val="20"/>
              </w:rPr>
              <w:t>стандарт</w:t>
            </w:r>
            <w:r>
              <w:rPr>
                <w:rFonts w:ascii="Times New Roman"/>
                <w:b w:val="false"/>
                <w:i w:val="false"/>
                <w:color w:val="000000"/>
                <w:sz w:val="20"/>
              </w:rPr>
              <w:t xml:space="preserve"> </w:t>
            </w:r>
            <w:r>
              <w:rPr>
                <w:rFonts w:ascii="Times New Roman"/>
                <w:b/>
                <w:i w:val="false"/>
                <w:color w:val="000000"/>
                <w:sz w:val="20"/>
              </w:rPr>
              <w:t>жобасының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түрлері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одақтың</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регламентінің</w:t>
            </w:r>
            <w:r>
              <w:rPr>
                <w:rFonts w:ascii="Times New Roman"/>
                <w:b w:val="false"/>
                <w:i w:val="false"/>
                <w:color w:val="000000"/>
                <w:sz w:val="20"/>
              </w:rPr>
              <w:t xml:space="preserve"> </w:t>
            </w:r>
            <w:r>
              <w:rPr>
                <w:rFonts w:ascii="Times New Roman"/>
                <w:b/>
                <w:i w:val="false"/>
                <w:color w:val="000000"/>
                <w:sz w:val="20"/>
              </w:rPr>
              <w:t>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 мерзімдері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i w:val="false"/>
                <w:color w:val="000000"/>
                <w:sz w:val="20"/>
              </w:rPr>
              <w:t xml:space="preserve"> одаққа </w:t>
            </w:r>
            <w:r>
              <w:rPr>
                <w:rFonts w:ascii="Times New Roman"/>
                <w:b/>
                <w:i w:val="false"/>
                <w:color w:val="000000"/>
                <w:sz w:val="20"/>
              </w:rPr>
              <w:t>мүше</w:t>
            </w:r>
            <w:r>
              <w:rPr>
                <w:rFonts w:ascii="Times New Roman"/>
                <w:b w:val="false"/>
                <w:i w:val="false"/>
                <w:color w:val="000000"/>
                <w:sz w:val="20"/>
              </w:rPr>
              <w:t xml:space="preserve"> </w:t>
            </w:r>
            <w:r>
              <w:rPr>
                <w:rFonts w:ascii="Times New Roman"/>
                <w:b/>
                <w:i w:val="false"/>
                <w:color w:val="000000"/>
                <w:sz w:val="20"/>
              </w:rPr>
              <w:t>мемлекет</w:t>
            </w:r>
            <w:r>
              <w:rPr>
                <w:rFonts w:ascii="Times New Roman"/>
                <w:b w:val="false"/>
                <w:i w:val="false"/>
                <w:color w:val="000000"/>
                <w:sz w:val="20"/>
              </w:rPr>
              <w:t xml:space="preserve"> </w:t>
            </w:r>
            <w:r>
              <w:rPr>
                <w:rFonts w:ascii="Times New Roman"/>
                <w:b/>
                <w:i w:val="false"/>
                <w:color w:val="000000"/>
                <w:sz w:val="20"/>
              </w:rPr>
              <w:t>-жауапты</w:t>
            </w:r>
            <w:r>
              <w:rPr>
                <w:rFonts w:ascii="Times New Roman"/>
                <w:b w:val="false"/>
                <w:i w:val="false"/>
                <w:color w:val="000000"/>
                <w:sz w:val="20"/>
              </w:rPr>
              <w:t xml:space="preserve"> </w:t>
            </w:r>
            <w:r>
              <w:rPr>
                <w:rFonts w:ascii="Times New Roman"/>
                <w:b/>
                <w:i w:val="false"/>
                <w:color w:val="000000"/>
                <w:sz w:val="20"/>
              </w:rPr>
              <w:t>әзірлеуші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МТК-мен </w:t>
            </w:r>
            <w:r>
              <w:rPr>
                <w:rFonts w:ascii="Times New Roman"/>
                <w:b/>
                <w:i w:val="false"/>
                <w:color w:val="000000"/>
                <w:sz w:val="20"/>
              </w:rPr>
              <w:t>келісу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052.RU.1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Газ хроматографиясының құрамын белгісіздікті бағалау арқылы анықтау. 3 бөлім. Дәлдік және орын ауыстыру. МемСТ 31371.3-2008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4 қосымшалар, көрсеткіштер: "компоненттердің молярлық үлесі (компоненттік құрам)"; "оттегінің молярлық үлесі"; "көміртегі диоксидінің молярлық үлесі"; "метанның молярлық үлесі"; "азоттың молярлық үлесі"; "жанбайтын компоненттердің молярлық үлесі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052.RU.2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газ. Газ хроматографиясының құрамын белгісіздікті бағалау арқылы анықтау. 4 бөлім. Анализатордың тиімділігіне қойылатын талаптар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4 қосымшалар, көрсеткіштер: "компоненттердің молярлық үлесі (компоненттік құрам)";</w:t>
            </w:r>
          </w:p>
          <w:p>
            <w:pPr>
              <w:spacing w:after="20"/>
              <w:ind w:left="20"/>
              <w:jc w:val="both"/>
            </w:pPr>
            <w:r>
              <w:rPr>
                <w:rFonts w:ascii="Times New Roman"/>
                <w:b w:val="false"/>
                <w:i w:val="false"/>
                <w:color w:val="000000"/>
                <w:sz w:val="20"/>
              </w:rPr>
              <w:t>
"оттегі диоксидінің молярлық үлесі";</w:t>
            </w:r>
          </w:p>
          <w:p>
            <w:pPr>
              <w:spacing w:after="20"/>
              <w:ind w:left="20"/>
              <w:jc w:val="both"/>
            </w:pPr>
            <w:r>
              <w:rPr>
                <w:rFonts w:ascii="Times New Roman"/>
                <w:b w:val="false"/>
                <w:i w:val="false"/>
                <w:color w:val="000000"/>
                <w:sz w:val="20"/>
              </w:rPr>
              <w:t>
"көміртегі диоксидінің молярлық үлесі"; "метанның молярлық үлесі"; "азоттың молярлық үлесі"; "жанбайтын компоненттердің молярлық үлесі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052.RU.3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Белгісіздікті бағалай отырып, газ хроматографиясы әдісімен құрамды анықтау. 7 бөлім. Компоненттердің молярлық үлесін өлшеу әдістемесі. МемСТ 31371.7-2020 өзгерістер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4 қосымшалар, көрсеткіштер: "компоненттердің молярлық үлесі (компоненттік құрам)";</w:t>
            </w:r>
          </w:p>
          <w:p>
            <w:pPr>
              <w:spacing w:after="20"/>
              <w:ind w:left="20"/>
              <w:jc w:val="both"/>
            </w:pPr>
            <w:r>
              <w:rPr>
                <w:rFonts w:ascii="Times New Roman"/>
                <w:b w:val="false"/>
                <w:i w:val="false"/>
                <w:color w:val="000000"/>
                <w:sz w:val="20"/>
              </w:rPr>
              <w:t>
"оттегі диоксидінің молярлық үлесі";</w:t>
            </w:r>
          </w:p>
          <w:p>
            <w:pPr>
              <w:spacing w:after="20"/>
              <w:ind w:left="20"/>
              <w:jc w:val="both"/>
            </w:pPr>
            <w:r>
              <w:rPr>
                <w:rFonts w:ascii="Times New Roman"/>
                <w:b w:val="false"/>
                <w:i w:val="false"/>
                <w:color w:val="000000"/>
                <w:sz w:val="20"/>
              </w:rPr>
              <w:t>
"көміртегі диоксидінің молярлық үлесі"; "метанның молярлық үлесі"; "азоттың молярлық үлесі"; "жанбайтын компоненттердің молярлық үлесі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052.RU.4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сұйытылған газ. Газ хроматографиясы әдісімен компоненттік құрамды анықтау.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 4 қосымша, көрсеткіштер: </w:t>
            </w:r>
          </w:p>
          <w:p>
            <w:pPr>
              <w:spacing w:after="20"/>
              <w:ind w:left="20"/>
              <w:jc w:val="both"/>
            </w:pPr>
            <w:r>
              <w:rPr>
                <w:rFonts w:ascii="Times New Roman"/>
                <w:b w:val="false"/>
                <w:i w:val="false"/>
                <w:color w:val="000000"/>
                <w:sz w:val="20"/>
              </w:rPr>
              <w:t>
"компоненттердің молярлық үлесі (компоненттік құрам)";</w:t>
            </w:r>
          </w:p>
          <w:p>
            <w:pPr>
              <w:spacing w:after="20"/>
              <w:ind w:left="20"/>
              <w:jc w:val="both"/>
            </w:pPr>
            <w:r>
              <w:rPr>
                <w:rFonts w:ascii="Times New Roman"/>
                <w:b w:val="false"/>
                <w:i w:val="false"/>
                <w:color w:val="000000"/>
                <w:sz w:val="20"/>
              </w:rPr>
              <w:t>
"метанның молярлық үлесі"; "азоттың молярлық үлесі"; "көміртегі диоксидінің молярлық үлесі";"оттегі диоксидінің молярлық үлесі"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