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d64" w14:textId="a52e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азаматтық авиация саласындағы заңнамасын үндестірудің кейбір мәселелері туралы</w:t>
      </w:r>
    </w:p>
    <w:p>
      <w:pPr>
        <w:spacing w:after="0"/>
        <w:ind w:left="0"/>
        <w:jc w:val="both"/>
      </w:pPr>
      <w:r>
        <w:rPr>
          <w:rFonts w:ascii="Times New Roman"/>
          <w:b w:val="false"/>
          <w:i w:val="false"/>
          <w:color w:val="000000"/>
          <w:sz w:val="28"/>
        </w:rPr>
        <w:t>Еуразиялық Үкіметаралық Кеңестің 2024 жылғы 1 қазандағы № 16 Өкімі.</w:t>
      </w:r>
    </w:p>
    <w:p>
      <w:pPr>
        <w:spacing w:after="0"/>
        <w:ind w:left="0"/>
        <w:jc w:val="both"/>
      </w:pPr>
      <w:bookmarkStart w:name="z1" w:id="0"/>
      <w:r>
        <w:rPr>
          <w:rFonts w:ascii="Times New Roman"/>
          <w:b w:val="false"/>
          <w:i w:val="false"/>
          <w:color w:val="000000"/>
          <w:sz w:val="28"/>
        </w:rPr>
        <w:t xml:space="preserve">
      Үйлестірілген (келісілген) көлік саясаты туралы хаттаманың </w:t>
      </w:r>
      <w:r>
        <w:rPr>
          <w:rFonts w:ascii="Times New Roman"/>
          <w:b w:val="false"/>
          <w:i w:val="false"/>
          <w:color w:val="000000"/>
          <w:sz w:val="28"/>
        </w:rPr>
        <w:t>11-тармағының</w:t>
      </w:r>
      <w:r>
        <w:rPr>
          <w:rFonts w:ascii="Times New Roman"/>
          <w:b w:val="false"/>
          <w:i w:val="false"/>
          <w:color w:val="000000"/>
          <w:sz w:val="28"/>
        </w:rPr>
        <w:t xml:space="preserve"> 2-тармақшасына (Еуразиялық экономикалық одақ туралы 2014 жылғы 29 мамырдағы шартқа тіркелген № 24 қосымша) және Еуразиялық үкіметаралық кеңестің 2021 жылғы 20 тамыздағы № 15 өкімімен бекітілген Еуразиялық экономикалық одаққа мүше мемлекеттердің 2021-2023 жылдарға арналған үйлестірілген (келісілген) көлік саясатының негізгі бағыттары мен кезеңдерін іске асыру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("жол картасы") 42-тармағына сәйкес:</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үкіметтерінен әуе көлігі қызметтерінің ортақ нарығының жұмыс істеуін қамтамасыз ету және Жоғары Еуразиялық экономикалық кеңестің 2016 жылғы 26 желтоқсандағы № 19 шешімімен бекітілген Еуразиялық экономикалық одаққа мүше мемлекеттердің үйлестірілген (келісілген) көлік саясатының негізгі бағыттары мен кезеңдерін іске асыру мақсатында 2025 жылғы 1 қаңтарға дейін әуе кемелерінің ұшуға жарамдылығы саласындағы азаматтық авиация саласындағы халықаралық құқықтың нормалары мен қағидаттарына сәйкес мүше мемлекеттердің заңнамасын үндестіру жөніндегі жұмысты мынадай бағыттар бойынша ұйымдастыруды сұрау:</w:t>
      </w:r>
    </w:p>
    <w:bookmarkEnd w:id="1"/>
    <w:bookmarkStart w:name="z3" w:id="2"/>
    <w:p>
      <w:pPr>
        <w:spacing w:after="0"/>
        <w:ind w:left="0"/>
        <w:jc w:val="both"/>
      </w:pPr>
      <w:r>
        <w:rPr>
          <w:rFonts w:ascii="Times New Roman"/>
          <w:b w:val="false"/>
          <w:i w:val="false"/>
          <w:color w:val="000000"/>
          <w:sz w:val="28"/>
        </w:rPr>
        <w:t>
      а) ұшуға жарамдылық сертификаты жоқ немесе ұшуға жарамдылығын уақытша жоғалтқан әуе кемесін Еуразиялық экономикалық одаққа мүше басқа мемлекеттің (Армения Республикасы, Беларусь Республикасы, Қазақстан Республикасы, Қырғыз Республикасы және Ресей Федерациясы) аумағына өткізу кезінде хабардар ету тәртібін айқындау;</w:t>
      </w:r>
    </w:p>
    <w:bookmarkEnd w:id="2"/>
    <w:bookmarkStart w:name="z4" w:id="3"/>
    <w:p>
      <w:pPr>
        <w:spacing w:after="0"/>
        <w:ind w:left="0"/>
        <w:jc w:val="both"/>
      </w:pPr>
      <w:r>
        <w:rPr>
          <w:rFonts w:ascii="Times New Roman"/>
          <w:b w:val="false"/>
          <w:i w:val="false"/>
          <w:color w:val="000000"/>
          <w:sz w:val="28"/>
        </w:rPr>
        <w:t>
      б) ұшуға жарамдылық сертификаты жоқ немесе ұшуға жарамдылығын уақытша жоғалтқан әуе кемесінің ұшуына рұқсат беру үшін негіздерді айқындау (Армения Республикасы, Беларусь Республикасы, Қырғыз Республикасы және Ресей Федерациясы).</w:t>
      </w:r>
    </w:p>
    <w:bookmarkEnd w:id="3"/>
    <w:bookmarkStart w:name="z5" w:id="4"/>
    <w:p>
      <w:pPr>
        <w:spacing w:after="0"/>
        <w:ind w:left="0"/>
        <w:jc w:val="both"/>
      </w:pPr>
      <w:r>
        <w:rPr>
          <w:rFonts w:ascii="Times New Roman"/>
          <w:b w:val="false"/>
          <w:i w:val="false"/>
          <w:color w:val="000000"/>
          <w:sz w:val="28"/>
        </w:rPr>
        <w:t>
      2. Еуразиялық экономикалық комиссия осы өкімнің іске асыру шараларына мониторинг жүргізсін.</w:t>
      </w:r>
    </w:p>
    <w:bookmarkEnd w:id="4"/>
    <w:bookmarkStart w:name="z6" w:id="5"/>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