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504a" w14:textId="b4f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2023 жылғы 8 маусымдағы № 2 тапсырмасын іске асыру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4 маусымдағы № 5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мемлекеттердің монополияға қарсы органдарының Еуразиялық экономикалық комиссияның дәлелді ұсынымын толықтыруы бөлігінде Еуразиялық экономикалық одақ туралы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ережелерін іске асыруды көздейтін Еуразиялық экономикалық одаққа мүше мемлекеттердің заңнамасына өзгерістер енгізу туралы мәселені пысықтау туралы баяндама назарға алынсын.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