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276d" w14:textId="d112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Бірыңғай кедендік тарифінің қызылша ботворезі машиналары мен қызылша жинау машиналарына қатысты Кедендік әкелу бажының мөлшерлемесін белгілеу туралы және тауарлар тізбесіне өзгеріс енгізу туралы, оларға қатысты Қазақстан Республикасы Дүниежүзілік сауда ұйымына қосылу шарты ретінде қабылданған міндеттемелерге сәйкес Еуразиялық экономикалық одақтың Бірыңғай кедендік тарифі баждарының мөлшерлемелерімен салыстырғанда неғұрлым төмен кедендік әкелу баждарының мөлшерлемелерін және осындай баж мөлшерлемелерінің мөлшерлерін қолданады</w:t>
      </w:r>
    </w:p>
    <w:p>
      <w:pPr>
        <w:spacing w:after="0"/>
        <w:ind w:left="0"/>
        <w:jc w:val="both"/>
      </w:pPr>
      <w:r>
        <w:rPr>
          <w:rFonts w:ascii="Times New Roman"/>
          <w:b w:val="false"/>
          <w:i w:val="false"/>
          <w:color w:val="000000"/>
          <w:sz w:val="28"/>
        </w:rPr>
        <w:t>Еуразиялық экономикалық комиссия Кеңесінің 2024 жылғы 6 қыркүйектегі № 69 шешімі.</w:t>
      </w:r>
    </w:p>
    <w:p>
      <w:pPr>
        <w:spacing w:after="0"/>
        <w:ind w:left="0"/>
        <w:jc w:val="both"/>
      </w:pPr>
      <w:bookmarkStart w:name="z1" w:id="0"/>
      <w:r>
        <w:rPr>
          <w:rFonts w:ascii="Times New Roman"/>
          <w:b w:val="false"/>
          <w:i w:val="false"/>
          <w:color w:val="000000"/>
          <w:sz w:val="28"/>
        </w:rPr>
        <w:t xml:space="preserve">
      Еуразиялық экономикалық одақ туралы 2014 жылғы 29 мамырдағы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комиссия туралы ереженің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(2014 жылғы 29 мамырдағы Еуразиялық экономикалық одақ туралы шартқа № 1 қосымша), тауарларды әкелу мен айналдырудың кейбір мәселелері туралы хаттаманың 3-бабына Еуразиялық экономикалық одақтың кедендік аумағында 2015 жылғы 16 қазандағы және № 1 қосымшаның 4 және 132-тармақтарымен Жоғары Еуразиялық экономикалық кеңестің 2014 жылғы 23 желтоқсандағы № 98 шешімімен бекітілген Еуразиялық экономикалық комиссия жұмысының регламентіне сәйкес Еуразиялық экономикалық комиссия Кеңесі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тарифінің ЕАЭО СЭҚ ТН 8433 53 300 0 кодымен жіктелетін қызылша ботворезі машиналары мен қызылша жинау машиналарына қатысты кедендік баждың мөлшерлемесі 2024 жылғы 1 шілдеден 2026 ж. 30 маусымға қоса алғанда бастап кедендік құнның 0 пайызы мөлшерінде белгіленсін.</w:t>
      </w:r>
    </w:p>
    <w:bookmarkEnd w:id="1"/>
    <w:bookmarkStart w:name="z3" w:id="2"/>
    <w:p>
      <w:pPr>
        <w:spacing w:after="0"/>
        <w:ind w:left="0"/>
        <w:jc w:val="both"/>
      </w:pPr>
      <w:r>
        <w:rPr>
          <w:rFonts w:ascii="Times New Roman"/>
          <w:b w:val="false"/>
          <w:i w:val="false"/>
          <w:color w:val="000000"/>
          <w:sz w:val="28"/>
        </w:rPr>
        <w:t>
      2.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тарифіне мынадай өзгерістер енгізілсін:</w:t>
      </w:r>
    </w:p>
    <w:bookmarkEnd w:id="2"/>
    <w:bookmarkStart w:name="z4" w:id="3"/>
    <w:p>
      <w:pPr>
        <w:spacing w:after="0"/>
        <w:ind w:left="0"/>
        <w:jc w:val="both"/>
      </w:pPr>
      <w:r>
        <w:rPr>
          <w:rFonts w:ascii="Times New Roman"/>
          <w:b w:val="false"/>
          <w:i w:val="false"/>
          <w:color w:val="000000"/>
          <w:sz w:val="28"/>
        </w:rPr>
        <w:t>
      а) Еуразиялық экономикалық одақтың Бірыңғай кедендік тарифіне ЕАЭО СЭҚ ТН 8433 53 300 0 коды бар позицияда "68С)" ескертуге сілтеме "98С)" сілтемесімен ауыстырылсын;</w:t>
      </w:r>
    </w:p>
    <w:bookmarkEnd w:id="3"/>
    <w:bookmarkStart w:name="z5" w:id="4"/>
    <w:p>
      <w:pPr>
        <w:spacing w:after="0"/>
        <w:ind w:left="0"/>
        <w:jc w:val="both"/>
      </w:pPr>
      <w:r>
        <w:rPr>
          <w:rFonts w:ascii="Times New Roman"/>
          <w:b w:val="false"/>
          <w:i w:val="false"/>
          <w:color w:val="000000"/>
          <w:sz w:val="28"/>
        </w:rPr>
        <w:t>
      б) Еуразиялық экономикалық одақтың Бірыңғай кедендік тарифіне ескертпелерде:</w:t>
      </w:r>
    </w:p>
    <w:bookmarkEnd w:id="4"/>
    <w:p>
      <w:pPr>
        <w:spacing w:after="0"/>
        <w:ind w:left="0"/>
        <w:jc w:val="both"/>
      </w:pPr>
      <w:r>
        <w:rPr>
          <w:rFonts w:ascii="Times New Roman"/>
          <w:b w:val="false"/>
          <w:i w:val="false"/>
          <w:color w:val="000000"/>
          <w:sz w:val="28"/>
        </w:rPr>
        <w:t>
      68 С ескерту күші жойылды деп танылсын;</w:t>
      </w:r>
    </w:p>
    <w:p>
      <w:pPr>
        <w:spacing w:after="0"/>
        <w:ind w:left="0"/>
        <w:jc w:val="both"/>
      </w:pPr>
      <w:r>
        <w:rPr>
          <w:rFonts w:ascii="Times New Roman"/>
          <w:b w:val="false"/>
          <w:i w:val="false"/>
          <w:color w:val="000000"/>
          <w:sz w:val="28"/>
        </w:rPr>
        <w:t>
      мынадай мазмұндағы 98 С ескертпемен толықтырылсын:</w:t>
      </w:r>
    </w:p>
    <w:p>
      <w:pPr>
        <w:spacing w:after="0"/>
        <w:ind w:left="0"/>
        <w:jc w:val="both"/>
      </w:pPr>
      <w:r>
        <w:rPr>
          <w:rFonts w:ascii="Times New Roman"/>
          <w:b w:val="false"/>
          <w:i w:val="false"/>
          <w:color w:val="000000"/>
          <w:sz w:val="28"/>
        </w:rPr>
        <w:t xml:space="preserve">
      "98С) кедендік құнның 0 (нөл) % мөлшерінде кедендік әкелу бажының мөлшерлемесі 01.07.2024 бастап 30.06.2026 қоса алғанда қолданылады.". </w:t>
      </w:r>
    </w:p>
    <w:bookmarkStart w:name="z6" w:id="5"/>
    <w:p>
      <w:pPr>
        <w:spacing w:after="0"/>
        <w:ind w:left="0"/>
        <w:jc w:val="both"/>
      </w:pPr>
      <w:r>
        <w:rPr>
          <w:rFonts w:ascii="Times New Roman"/>
          <w:b w:val="false"/>
          <w:i w:val="false"/>
          <w:color w:val="000000"/>
          <w:sz w:val="28"/>
        </w:rPr>
        <w:t xml:space="preserve">
      3. Дүниежүзілік сауда ұйымына қосылу шарты ретінде қабылданған міндеттемелерге сәйкес Қазақстан Республикасы өздеріне қатысты тауарлардың тізбесінде кедендік әкелу баждарының ставкалары, неғұрлым төмен Еуразиялық экономикалық одақтың Бірыңғай кедендік тарифінің баж мөлшерлемелерімен және Еуразиялық экономикалық комиссия Кеңесінің 2015 жылғы 14 қазандағы № 59 </w:t>
      </w:r>
      <w:r>
        <w:rPr>
          <w:rFonts w:ascii="Times New Roman"/>
          <w:b w:val="false"/>
          <w:i w:val="false"/>
          <w:color w:val="000000"/>
          <w:sz w:val="28"/>
        </w:rPr>
        <w:t>Шешімімен</w:t>
      </w:r>
      <w:r>
        <w:rPr>
          <w:rFonts w:ascii="Times New Roman"/>
          <w:b w:val="false"/>
          <w:i w:val="false"/>
          <w:color w:val="000000"/>
          <w:sz w:val="28"/>
        </w:rPr>
        <w:t xml:space="preserve"> бекітілген 19-ескертпеде осындай баж мөлшерлемелерінің мөлшерімен салыстырғанда "2024 жылғы 1 шілдеден бастап" деген сөздер "2026 жылғы 1 шілдеден бастап" деген сөздермен ауыстырылсын.</w:t>
      </w:r>
    </w:p>
    <w:bookmarkEnd w:id="5"/>
    <w:bookmarkStart w:name="z7" w:id="6"/>
    <w:p>
      <w:pPr>
        <w:spacing w:after="0"/>
        <w:ind w:left="0"/>
        <w:jc w:val="both"/>
      </w:pPr>
      <w:r>
        <w:rPr>
          <w:rFonts w:ascii="Times New Roman"/>
          <w:b w:val="false"/>
          <w:i w:val="false"/>
          <w:color w:val="000000"/>
          <w:sz w:val="28"/>
        </w:rPr>
        <w:t>
      4. Осы Шешім ресми жарияланған күнінен бастап 10 күнтізбелік күн аяқталғаннан кейін күшіне енеді және 2024 жылдың 1 шілдесінен бастап туындаған құқықтық қатынастарға қолданылады.</w:t>
      </w:r>
    </w:p>
    <w:bookmarkEnd w:id="6"/>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С. Жумангарин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А. Касымалиев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А. Оверчук</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